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jc w:val="center"/>
        <w:rPr>
          <w:b/>
        </w:rPr>
      </w:pPr>
      <w:r w:rsidRPr="009613F4">
        <w:rPr>
          <w:b/>
        </w:rPr>
        <w:t>Návrh</w:t>
      </w:r>
    </w:p>
    <w:p w:rsidR="00905C29" w:rsidRPr="008E126C" w:rsidRDefault="00905C29" w:rsidP="001C6D2F">
      <w:pPr>
        <w:spacing w:before="1080"/>
        <w:ind w:left="6379"/>
      </w:pPr>
      <w:r w:rsidRPr="008E126C">
        <w:t>Praha</w:t>
      </w:r>
      <w:r w:rsidR="00567DAB" w:rsidRPr="008E126C">
        <w:t xml:space="preserve"> </w:t>
      </w:r>
      <w:r w:rsidR="000B7EA3" w:rsidRPr="008E126C">
        <w:t>XX. XX</w:t>
      </w:r>
      <w:r w:rsidR="001C6D2F" w:rsidRPr="008E126C">
        <w:t>X</w:t>
      </w:r>
      <w:r w:rsidR="000B7EA3" w:rsidRPr="008E126C">
        <w:t>X</w:t>
      </w:r>
      <w:r w:rsidR="00567DAB" w:rsidRPr="008E126C">
        <w:t xml:space="preserve"> 20</w:t>
      </w:r>
      <w:r w:rsidR="00745907" w:rsidRPr="008E126C">
        <w:t>1</w:t>
      </w:r>
      <w:r w:rsidR="009E43FD">
        <w:t>4</w:t>
      </w:r>
    </w:p>
    <w:p w:rsidR="008E3B2C" w:rsidRPr="008E126C" w:rsidRDefault="008E3B2C" w:rsidP="00C172FB">
      <w:pPr>
        <w:tabs>
          <w:tab w:val="left" w:pos="0"/>
        </w:tabs>
        <w:ind w:left="6379"/>
      </w:pPr>
      <w:r w:rsidRPr="008E126C">
        <w:t xml:space="preserve">Čj. </w:t>
      </w:r>
      <w:r w:rsidR="00BA25BA" w:rsidRPr="008E126C">
        <w:t>ČTÚ-</w:t>
      </w:r>
      <w:r w:rsidR="00AB217B">
        <w:t>1 644</w:t>
      </w:r>
      <w:r w:rsidR="00567DAB" w:rsidRPr="008E126C">
        <w:t>/20</w:t>
      </w:r>
      <w:r w:rsidR="00745907" w:rsidRPr="008E126C">
        <w:t>1</w:t>
      </w:r>
      <w:r w:rsidR="009E43FD">
        <w:t>4</w:t>
      </w:r>
      <w:r w:rsidR="00567DAB" w:rsidRPr="008E126C">
        <w:t>-61</w:t>
      </w:r>
      <w:r w:rsidR="00745907" w:rsidRPr="008E126C">
        <w:t>1</w:t>
      </w:r>
    </w:p>
    <w:p w:rsidR="005B6CC6" w:rsidRPr="00AB217B" w:rsidRDefault="00905C29" w:rsidP="00C172FB">
      <w:pPr>
        <w:tabs>
          <w:tab w:val="left" w:pos="720"/>
        </w:tabs>
        <w:spacing w:before="720"/>
        <w:ind w:firstLine="709"/>
        <w:jc w:val="both"/>
      </w:pPr>
      <w:r w:rsidRPr="008E126C">
        <w:t xml:space="preserve">Rada </w:t>
      </w:r>
      <w:r w:rsidR="00C951B3" w:rsidRPr="008E126C">
        <w:t>Česk</w:t>
      </w:r>
      <w:r w:rsidRPr="008E126C">
        <w:t>ého telekomunikačního úřadu</w:t>
      </w:r>
      <w:r w:rsidR="00C951B3" w:rsidRPr="008E126C">
        <w:t>, jako příslušný</w:t>
      </w:r>
      <w:r w:rsidR="006841F9" w:rsidRPr="008E126C">
        <w:t xml:space="preserve"> správní</w:t>
      </w:r>
      <w:r w:rsidR="00C951B3" w:rsidRPr="008E126C">
        <w:t xml:space="preserve"> orgán </w:t>
      </w:r>
      <w:r w:rsidR="006841F9" w:rsidRPr="008E126C">
        <w:t>p</w:t>
      </w:r>
      <w:r w:rsidR="00412D40" w:rsidRPr="008E126C">
        <w:t xml:space="preserve">odle </w:t>
      </w:r>
      <w:r w:rsidR="00745907" w:rsidRPr="008E126C">
        <w:t xml:space="preserve">§ 10 zákona č. 500/2004 Sb., správní řád, ve znění pozdějších předpisů, a podle </w:t>
      </w:r>
      <w:r w:rsidR="00412D40" w:rsidRPr="008E126C">
        <w:t xml:space="preserve">§ 107 odst. </w:t>
      </w:r>
      <w:r w:rsidR="00745907" w:rsidRPr="008E126C">
        <w:t>9</w:t>
      </w:r>
      <w:r w:rsidR="00412D40" w:rsidRPr="008E126C">
        <w:t xml:space="preserve"> písm. b) </w:t>
      </w:r>
      <w:r w:rsidR="004E5A0B" w:rsidRPr="008E126C">
        <w:t xml:space="preserve">bodu 3 </w:t>
      </w:r>
      <w:r w:rsidR="00412D40" w:rsidRPr="00AB217B">
        <w:t>zákona č. 127/2005 Sb., o elektronických komunikacích a o změně některých souvisejících zákonů (zákon o elektronických komunikacích)</w:t>
      </w:r>
      <w:r w:rsidR="00D84A3D" w:rsidRPr="00AB217B">
        <w:t>,</w:t>
      </w:r>
      <w:r w:rsidR="00412D40" w:rsidRPr="00AB217B">
        <w:t xml:space="preserve"> ve znění pozdějších předpisů (dále jen „Zákon“),</w:t>
      </w:r>
      <w:r w:rsidR="00745907" w:rsidRPr="00AB217B">
        <w:t xml:space="preserve"> </w:t>
      </w:r>
      <w:r w:rsidR="00425DB7" w:rsidRPr="00AB217B">
        <w:t xml:space="preserve">vydává v řízení se </w:t>
      </w:r>
      <w:r w:rsidR="006F4569" w:rsidRPr="00AB217B">
        <w:t xml:space="preserve">společností </w:t>
      </w:r>
      <w:r w:rsidR="0024684B" w:rsidRPr="00AB217B">
        <w:rPr>
          <w:b/>
          <w:kern w:val="20"/>
        </w:rPr>
        <w:t>UPC Česká republika, s.r.o.</w:t>
      </w:r>
      <w:r w:rsidR="0024684B" w:rsidRPr="00AB217B">
        <w:t xml:space="preserve">, se sídlem </w:t>
      </w:r>
      <w:r w:rsidR="0024684B" w:rsidRPr="00AB217B">
        <w:rPr>
          <w:kern w:val="20"/>
        </w:rPr>
        <w:t>Závišova 502/5</w:t>
      </w:r>
      <w:r w:rsidR="0024684B" w:rsidRPr="00AB217B">
        <w:t xml:space="preserve">, </w:t>
      </w:r>
      <w:r w:rsidR="0024684B" w:rsidRPr="00AB217B">
        <w:rPr>
          <w:kern w:val="20"/>
        </w:rPr>
        <w:t>140 00 Prah</w:t>
      </w:r>
      <w:r w:rsidR="00402DFD">
        <w:rPr>
          <w:kern w:val="20"/>
        </w:rPr>
        <w:t>a 4 –</w:t>
      </w:r>
      <w:r w:rsidR="0024684B" w:rsidRPr="00AB217B">
        <w:rPr>
          <w:kern w:val="20"/>
        </w:rPr>
        <w:t xml:space="preserve"> Nusle</w:t>
      </w:r>
      <w:r w:rsidR="0024684B" w:rsidRPr="00AB217B">
        <w:t>, IČ</w:t>
      </w:r>
      <w:r w:rsidR="00402DFD">
        <w:t>O</w:t>
      </w:r>
      <w:r w:rsidR="0024684B" w:rsidRPr="00AB217B">
        <w:t>: 00562262</w:t>
      </w:r>
      <w:r w:rsidR="006650F1" w:rsidRPr="00AB217B">
        <w:t xml:space="preserve"> </w:t>
      </w:r>
      <w:r w:rsidR="00745907" w:rsidRPr="00AB217B">
        <w:t>(dále jen „účastník řízení“)</w:t>
      </w:r>
      <w:r w:rsidR="00425DB7" w:rsidRPr="00AB217B">
        <w:t xml:space="preserve">, </w:t>
      </w:r>
      <w:r w:rsidR="00745907" w:rsidRPr="00AB217B">
        <w:t xml:space="preserve">zahájeném z moci úřední </w:t>
      </w:r>
      <w:r w:rsidR="00425DB7" w:rsidRPr="00AB217B">
        <w:t>dne</w:t>
      </w:r>
      <w:r w:rsidR="00932253" w:rsidRPr="00AB217B">
        <w:t xml:space="preserve"> </w:t>
      </w:r>
      <w:r w:rsidR="006E0E06">
        <w:t>16</w:t>
      </w:r>
      <w:r w:rsidR="00C65530" w:rsidRPr="00AB217B">
        <w:t xml:space="preserve">. </w:t>
      </w:r>
      <w:r w:rsidR="006E0E06">
        <w:t>ledna</w:t>
      </w:r>
      <w:r w:rsidR="00932253" w:rsidRPr="00AB217B">
        <w:t xml:space="preserve"> 20</w:t>
      </w:r>
      <w:r w:rsidR="00745907" w:rsidRPr="00AB217B">
        <w:t>1</w:t>
      </w:r>
      <w:r w:rsidR="009E43FD" w:rsidRPr="00AB217B">
        <w:t>4</w:t>
      </w:r>
      <w:r w:rsidR="00425DB7" w:rsidRPr="00AB217B">
        <w:t xml:space="preserve">, ve věci </w:t>
      </w:r>
      <w:r w:rsidR="00C65530" w:rsidRPr="00AB217B">
        <w:t xml:space="preserve">uložení </w:t>
      </w:r>
      <w:r w:rsidR="00D55530" w:rsidRPr="00AB217B">
        <w:t>povinnost</w:t>
      </w:r>
      <w:r w:rsidR="00C65530" w:rsidRPr="00AB217B">
        <w:t>i</w:t>
      </w:r>
      <w:r w:rsidR="00ED39A0" w:rsidRPr="00AB217B">
        <w:t xml:space="preserve"> </w:t>
      </w:r>
      <w:r w:rsidR="00C65530" w:rsidRPr="00AB217B">
        <w:t>související s regulací cen podniku s významnou tržní silou</w:t>
      </w:r>
      <w:r w:rsidR="00745907" w:rsidRPr="00AB217B">
        <w:t xml:space="preserve"> </w:t>
      </w:r>
      <w:r w:rsidR="005B6CC6" w:rsidRPr="00AB217B">
        <w:t xml:space="preserve">toto </w:t>
      </w:r>
    </w:p>
    <w:p w:rsidR="000B435F" w:rsidRPr="00AB217B" w:rsidRDefault="006F01CC" w:rsidP="005B3B60">
      <w:pPr>
        <w:spacing w:before="480" w:after="480"/>
        <w:jc w:val="center"/>
        <w:rPr>
          <w:b/>
        </w:rPr>
      </w:pPr>
      <w:r w:rsidRPr="00AB217B">
        <w:rPr>
          <w:b/>
        </w:rPr>
        <w:t>ro</w:t>
      </w:r>
      <w:r w:rsidR="004D200C" w:rsidRPr="00AB217B">
        <w:rPr>
          <w:b/>
        </w:rPr>
        <w:t>zhodnutí</w:t>
      </w:r>
      <w:r w:rsidR="005B6CC6" w:rsidRPr="00AB217B">
        <w:rPr>
          <w:b/>
        </w:rPr>
        <w:t xml:space="preserve"> o ceně</w:t>
      </w:r>
      <w:r w:rsidR="006C2091" w:rsidRPr="00AB217B">
        <w:rPr>
          <w:b/>
        </w:rPr>
        <w:t xml:space="preserve"> č. </w:t>
      </w:r>
      <w:r w:rsidR="000B435F" w:rsidRPr="00AB217B">
        <w:rPr>
          <w:rFonts w:cs="Arial"/>
          <w:b/>
          <w:bCs/>
          <w:snapToGrid w:val="0"/>
          <w:sz w:val="24"/>
          <w:szCs w:val="24"/>
        </w:rPr>
        <w:t>CEN/</w:t>
      </w:r>
      <w:r w:rsidR="00745907" w:rsidRPr="00AB217B">
        <w:rPr>
          <w:rFonts w:cs="Arial"/>
          <w:b/>
          <w:bCs/>
          <w:snapToGrid w:val="0"/>
          <w:sz w:val="24"/>
          <w:szCs w:val="24"/>
        </w:rPr>
        <w:t>3</w:t>
      </w:r>
      <w:r w:rsidR="000B435F" w:rsidRPr="00AB217B">
        <w:rPr>
          <w:rFonts w:cs="Arial"/>
          <w:b/>
          <w:bCs/>
          <w:snapToGrid w:val="0"/>
          <w:sz w:val="24"/>
          <w:szCs w:val="24"/>
        </w:rPr>
        <w:t>/</w:t>
      </w:r>
      <w:r w:rsidR="00557DDC" w:rsidRPr="00AB217B">
        <w:rPr>
          <w:rFonts w:cs="Arial"/>
          <w:b/>
          <w:bCs/>
          <w:snapToGrid w:val="0"/>
          <w:sz w:val="24"/>
          <w:szCs w:val="24"/>
        </w:rPr>
        <w:t>XX</w:t>
      </w:r>
      <w:r w:rsidR="000B435F" w:rsidRPr="00AB217B">
        <w:rPr>
          <w:rFonts w:cs="Arial"/>
          <w:b/>
          <w:bCs/>
          <w:snapToGrid w:val="0"/>
          <w:sz w:val="24"/>
          <w:szCs w:val="24"/>
        </w:rPr>
        <w:t>.</w:t>
      </w:r>
      <w:r w:rsidR="000B05F5" w:rsidRPr="00AB217B">
        <w:rPr>
          <w:rFonts w:cs="Arial"/>
          <w:b/>
          <w:bCs/>
          <w:snapToGrid w:val="0"/>
          <w:sz w:val="24"/>
          <w:szCs w:val="24"/>
        </w:rPr>
        <w:t>2014</w:t>
      </w:r>
      <w:r w:rsidR="000B435F" w:rsidRPr="00AB217B">
        <w:rPr>
          <w:rFonts w:cs="Arial"/>
          <w:b/>
          <w:bCs/>
          <w:snapToGrid w:val="0"/>
          <w:sz w:val="24"/>
          <w:szCs w:val="24"/>
        </w:rPr>
        <w:t>-</w:t>
      </w:r>
      <w:r w:rsidR="00612572" w:rsidRPr="00AB217B">
        <w:rPr>
          <w:rFonts w:cs="Arial"/>
          <w:b/>
          <w:bCs/>
          <w:snapToGrid w:val="0"/>
          <w:sz w:val="24"/>
          <w:szCs w:val="24"/>
        </w:rPr>
        <w:t>Y</w:t>
      </w:r>
      <w:r w:rsidR="006C2091" w:rsidRPr="00AB217B">
        <w:rPr>
          <w:rFonts w:cs="Arial"/>
          <w:b/>
          <w:bCs/>
          <w:snapToGrid w:val="0"/>
          <w:color w:val="000000"/>
          <w:sz w:val="24"/>
          <w:szCs w:val="24"/>
        </w:rPr>
        <w:t>:</w:t>
      </w:r>
    </w:p>
    <w:p w:rsidR="00232BAB" w:rsidRPr="00AB217B" w:rsidRDefault="00FD7FAC" w:rsidP="00C172FB">
      <w:pPr>
        <w:spacing w:before="360" w:after="240"/>
        <w:jc w:val="center"/>
      </w:pPr>
      <w:r w:rsidRPr="00AB217B">
        <w:rPr>
          <w:b/>
        </w:rPr>
        <w:t>I.</w:t>
      </w:r>
    </w:p>
    <w:p w:rsidR="00367E25" w:rsidRPr="00AB217B" w:rsidRDefault="00367E25" w:rsidP="00367E25">
      <w:pPr>
        <w:spacing w:after="120"/>
        <w:ind w:firstLine="709"/>
        <w:jc w:val="both"/>
      </w:pPr>
      <w:r w:rsidRPr="00AB217B">
        <w:t>(1) Podle § 51 odst. 5 písm. f), § 51 odst. 8 a § 59 Zákona a podle výsledků analýzy relevantního trhu „Ukončení volání (terminace) v jednotlivých veřejných telefonních sítích poskytovaných v pevném místě“ vydané opatřením obecné povahy Českého telekomunikačního úřadu č. A/3/12.2013-8 se účastníku řízení ukládá povinnost sjednávat ceny za propojení v jeho veřejné telefonní síti pro službu ukončení volání (terminace) v pevném místě (dále jen „ceny za terminaci“) tak, aby nebyla překročena maximální cena 0,03 Kč/min. bez DPH.</w:t>
      </w:r>
    </w:p>
    <w:p w:rsidR="00367E25" w:rsidRPr="009B71EA" w:rsidRDefault="00367E25" w:rsidP="00367E25">
      <w:pPr>
        <w:spacing w:after="120"/>
        <w:ind w:firstLine="720"/>
        <w:jc w:val="both"/>
      </w:pPr>
      <w:r w:rsidRPr="00AB217B">
        <w:t xml:space="preserve">(2) Regulace formou maximálních cen podle odstavce 1 se vztahuje na volání příchozí z jiné veřejné sítě elektronických komunikací a ukončená (terminovaná) na geografická čísla a negeografická čísla (řady 910) veřejné pevné telefonní sítě účastníka řízení a na telefonní čísla, která se skládají z přístupového kódu k neveřejným sítím (jedná se o přístupové kódy </w:t>
      </w:r>
      <w:r w:rsidRPr="009B71EA">
        <w:t>9500 až 9599 a 972 až 974) a doplňkových číslic, vymezená ve vyhlášce o číslovacích plánech sítí a služeb elektronických komunikací vydané k provedení § 29 odst. 4 Zákona.</w:t>
      </w:r>
    </w:p>
    <w:p w:rsidR="00367E25" w:rsidRPr="00AB217B" w:rsidRDefault="00367E25" w:rsidP="00367E25">
      <w:pPr>
        <w:spacing w:after="120"/>
        <w:ind w:firstLine="720"/>
        <w:jc w:val="both"/>
      </w:pPr>
      <w:r w:rsidRPr="009B71EA">
        <w:t xml:space="preserve">(3) </w:t>
      </w:r>
      <w:r w:rsidR="006E0E06" w:rsidRPr="009B71EA">
        <w:t>Regulace formou maximálních cen podle odstavce 1 se nevztahuje na volání z telefonních čísel s kódy zemí mimo Evropský hospodářský prostor.</w:t>
      </w:r>
    </w:p>
    <w:p w:rsidR="00367E25" w:rsidRPr="00AB217B" w:rsidRDefault="00367E25" w:rsidP="00367E25">
      <w:pPr>
        <w:spacing w:before="360" w:after="240"/>
        <w:jc w:val="center"/>
        <w:outlineLvl w:val="0"/>
        <w:rPr>
          <w:b/>
        </w:rPr>
      </w:pPr>
      <w:r w:rsidRPr="00AB217B">
        <w:rPr>
          <w:b/>
        </w:rPr>
        <w:t>II.</w:t>
      </w:r>
    </w:p>
    <w:p w:rsidR="002E2062" w:rsidRPr="00AB217B" w:rsidRDefault="00367E25" w:rsidP="00C172FB">
      <w:pPr>
        <w:spacing w:after="120"/>
        <w:ind w:firstLine="709"/>
        <w:jc w:val="both"/>
        <w:outlineLvl w:val="0"/>
        <w:rPr>
          <w:rFonts w:cs="Arial"/>
        </w:rPr>
      </w:pPr>
      <w:r w:rsidRPr="00AB217B">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D56B88" w:rsidRPr="00AB217B" w:rsidRDefault="00BD2CFC" w:rsidP="00017B36">
      <w:pPr>
        <w:ind w:firstLine="709"/>
        <w:jc w:val="both"/>
        <w:outlineLvl w:val="0"/>
        <w:rPr>
          <w:rFonts w:cs="Arial"/>
        </w:rPr>
      </w:pPr>
      <w:r w:rsidRPr="00AB217B">
        <w:rPr>
          <w:rFonts w:cs="Arial"/>
        </w:rPr>
        <w:t>(2) V ostatních případech je</w:t>
      </w:r>
      <w:r w:rsidR="00571E04" w:rsidRPr="00AB217B">
        <w:rPr>
          <w:rFonts w:cs="Arial"/>
        </w:rPr>
        <w:t xml:space="preserve"> po dobu účinnosti části I. výroku tohoto rozhodnutí</w:t>
      </w:r>
      <w:r w:rsidRPr="00AB217B">
        <w:rPr>
          <w:rFonts w:cs="Arial"/>
        </w:rPr>
        <w:t xml:space="preserve"> účastník řízení povinen sjednat </w:t>
      </w:r>
      <w:r w:rsidR="00E66780" w:rsidRPr="00AB217B">
        <w:rPr>
          <w:rFonts w:cs="Arial"/>
        </w:rPr>
        <w:t xml:space="preserve">a uplatňovat </w:t>
      </w:r>
      <w:r w:rsidRPr="00AB217B">
        <w:rPr>
          <w:rFonts w:cs="Arial"/>
        </w:rPr>
        <w:t xml:space="preserve">ceny </w:t>
      </w:r>
      <w:r w:rsidR="006E1243" w:rsidRPr="00AB217B">
        <w:rPr>
          <w:rFonts w:cs="Arial"/>
        </w:rPr>
        <w:t>podle</w:t>
      </w:r>
      <w:r w:rsidR="0049324F" w:rsidRPr="00AB217B">
        <w:rPr>
          <w:rFonts w:cs="Arial"/>
        </w:rPr>
        <w:t xml:space="preserve"> </w:t>
      </w:r>
      <w:r w:rsidR="006E1243" w:rsidRPr="00AB217B">
        <w:rPr>
          <w:rFonts w:cs="Arial"/>
        </w:rPr>
        <w:t xml:space="preserve">části I. výroku tohoto rozhodnutí nejpozději od prvního dne </w:t>
      </w:r>
      <w:r w:rsidR="007E2E3D" w:rsidRPr="00AB217B">
        <w:rPr>
          <w:rFonts w:cs="Arial"/>
        </w:rPr>
        <w:t>třetího</w:t>
      </w:r>
      <w:r w:rsidR="00B92D93" w:rsidRPr="00AB217B">
        <w:rPr>
          <w:rFonts w:cs="Arial"/>
        </w:rPr>
        <w:t xml:space="preserve"> měsíce </w:t>
      </w:r>
      <w:r w:rsidR="007E2E3D" w:rsidRPr="00AB217B">
        <w:rPr>
          <w:rFonts w:cs="Arial"/>
        </w:rPr>
        <w:t>následujícího po měsíci, ve kterém došlo k</w:t>
      </w:r>
      <w:r w:rsidRPr="00AB217B">
        <w:rPr>
          <w:rFonts w:cs="Arial"/>
        </w:rPr>
        <w:t xml:space="preserve"> nabytí právní moci tohoto rozhodnutí.</w:t>
      </w:r>
    </w:p>
    <w:p w:rsidR="004D200C" w:rsidRPr="00AB217B" w:rsidRDefault="00FD7FAC" w:rsidP="00F26B39">
      <w:pPr>
        <w:spacing w:before="480" w:after="240"/>
        <w:jc w:val="center"/>
        <w:outlineLvl w:val="0"/>
        <w:rPr>
          <w:b/>
        </w:rPr>
      </w:pPr>
      <w:r w:rsidRPr="00AB217B">
        <w:rPr>
          <w:b/>
        </w:rPr>
        <w:t>Odůvodnění</w:t>
      </w:r>
      <w:r w:rsidR="00DA1A7B" w:rsidRPr="00AB217B">
        <w:rPr>
          <w:b/>
        </w:rPr>
        <w:t>:</w:t>
      </w:r>
    </w:p>
    <w:p w:rsidR="00384304" w:rsidRPr="00AB217B" w:rsidRDefault="00384304" w:rsidP="00C172FB">
      <w:pPr>
        <w:spacing w:after="120"/>
        <w:ind w:firstLine="709"/>
        <w:jc w:val="both"/>
      </w:pPr>
      <w:r w:rsidRPr="00AB217B">
        <w:lastRenderedPageBreak/>
        <w:t xml:space="preserve">Český telekomunikační úřad (dále jen „Úřad“) provedl v souladu s § 51 odst. </w:t>
      </w:r>
      <w:smartTag w:uri="urn:schemas-microsoft-com:office:smarttags" w:element="metricconverter">
        <w:smartTagPr>
          <w:attr w:name="ProductID" w:val="1 a"/>
        </w:smartTagPr>
        <w:r w:rsidRPr="00AB217B">
          <w:t>1 a</w:t>
        </w:r>
      </w:smartTag>
      <w:r w:rsidRPr="00AB217B">
        <w:t xml:space="preserve"> 2 Zákona</w:t>
      </w:r>
      <w:r w:rsidR="003539E5" w:rsidRPr="00AB217B">
        <w:t xml:space="preserve"> </w:t>
      </w:r>
      <w:r w:rsidRPr="00AB217B">
        <w:t xml:space="preserve">analýzu trhu č. </w:t>
      </w:r>
      <w:r w:rsidR="00B2749C" w:rsidRPr="00AB217B">
        <w:t>3</w:t>
      </w:r>
      <w:r w:rsidRPr="00AB217B">
        <w:t xml:space="preserve"> </w:t>
      </w:r>
      <w:r w:rsidR="009D6572" w:rsidRPr="00AB217B">
        <w:rPr>
          <w:rFonts w:cs="Arial"/>
        </w:rPr>
        <w:t>–</w:t>
      </w:r>
      <w:r w:rsidRPr="00AB217B">
        <w:t xml:space="preserve"> </w:t>
      </w:r>
      <w:r w:rsidR="001C6D2F" w:rsidRPr="00AB217B">
        <w:t xml:space="preserve">Ukončení </w:t>
      </w:r>
      <w:r w:rsidR="00B2749C" w:rsidRPr="00AB217B">
        <w:t>volání (terminace) v jednotlivých veřejných telefonních sítích poskytovaných v pevném místě</w:t>
      </w:r>
      <w:r w:rsidRPr="00AB217B">
        <w:t xml:space="preserve"> (dále jen „trh č. </w:t>
      </w:r>
      <w:r w:rsidR="00B2749C" w:rsidRPr="00AB217B">
        <w:t>3</w:t>
      </w:r>
      <w:r w:rsidRPr="00AB217B">
        <w:t xml:space="preserve">“), kterou </w:t>
      </w:r>
      <w:r w:rsidR="009D6572" w:rsidRPr="00AB217B">
        <w:t xml:space="preserve">zveřejnil na úřední desce dne </w:t>
      </w:r>
      <w:r w:rsidR="00C16921" w:rsidRPr="00AB217B">
        <w:t>13</w:t>
      </w:r>
      <w:r w:rsidR="001C6D2F" w:rsidRPr="00AB217B">
        <w:t xml:space="preserve">. </w:t>
      </w:r>
      <w:r w:rsidR="00C16921" w:rsidRPr="00AB217B">
        <w:t>prosince</w:t>
      </w:r>
      <w:r w:rsidR="009D6572" w:rsidRPr="00AB217B">
        <w:t xml:space="preserve"> 20</w:t>
      </w:r>
      <w:r w:rsidR="001C6D2F" w:rsidRPr="00AB217B">
        <w:t>13</w:t>
      </w:r>
      <w:r w:rsidR="009D6572" w:rsidRPr="00AB217B">
        <w:t xml:space="preserve"> </w:t>
      </w:r>
      <w:r w:rsidR="00C16921" w:rsidRPr="00AB217B">
        <w:t xml:space="preserve">pod čj. </w:t>
      </w:r>
      <w:r w:rsidR="003934E6" w:rsidRPr="00AB217B">
        <w:t xml:space="preserve">ČTÚ-127 153/2013-609 </w:t>
      </w:r>
      <w:r w:rsidR="009D6572" w:rsidRPr="00AB217B">
        <w:t>a</w:t>
      </w:r>
      <w:r w:rsidR="005B3B60" w:rsidRPr="00AB217B">
        <w:t> </w:t>
      </w:r>
      <w:r w:rsidR="009D6572" w:rsidRPr="00AB217B">
        <w:t>po oznámení Evropsk</w:t>
      </w:r>
      <w:r w:rsidR="00DB18C8" w:rsidRPr="00AB217B">
        <w:t>é</w:t>
      </w:r>
      <w:r w:rsidR="009D6572" w:rsidRPr="00AB217B">
        <w:t xml:space="preserve"> komis</w:t>
      </w:r>
      <w:r w:rsidR="00DB18C8" w:rsidRPr="00AB217B">
        <w:t>i</w:t>
      </w:r>
      <w:r w:rsidR="009D6572" w:rsidRPr="00AB217B">
        <w:t xml:space="preserve"> jí vydal jako opatření obecné povahy č. </w:t>
      </w:r>
      <w:r w:rsidR="00B2749C" w:rsidRPr="00AB217B">
        <w:t>A/3/</w:t>
      </w:r>
      <w:r w:rsidR="001B1211" w:rsidRPr="00AB217B">
        <w:t>12</w:t>
      </w:r>
      <w:r w:rsidR="00B2749C" w:rsidRPr="00AB217B">
        <w:t>.20</w:t>
      </w:r>
      <w:r w:rsidR="001C6D2F" w:rsidRPr="00AB217B">
        <w:t>13</w:t>
      </w:r>
      <w:r w:rsidR="00B2749C" w:rsidRPr="00AB217B">
        <w:t>-</w:t>
      </w:r>
      <w:r w:rsidR="001B1211" w:rsidRPr="00AB217B">
        <w:t>8</w:t>
      </w:r>
      <w:r w:rsidR="00DB18C8" w:rsidRPr="00AB217B">
        <w:t xml:space="preserve"> ze dne </w:t>
      </w:r>
      <w:r w:rsidR="00C75960" w:rsidRPr="00AB217B">
        <w:t>10</w:t>
      </w:r>
      <w:r w:rsidR="001C6D2F" w:rsidRPr="00AB217B">
        <w:t xml:space="preserve">. </w:t>
      </w:r>
      <w:r w:rsidR="00C75960" w:rsidRPr="00AB217B">
        <w:t>prosince</w:t>
      </w:r>
      <w:r w:rsidR="00DB18C8" w:rsidRPr="00AB217B">
        <w:t xml:space="preserve"> 20</w:t>
      </w:r>
      <w:r w:rsidR="001C6D2F" w:rsidRPr="00AB217B">
        <w:t>13</w:t>
      </w:r>
      <w:r w:rsidR="00CF0782" w:rsidRPr="00AB217B">
        <w:t>.</w:t>
      </w:r>
      <w:r w:rsidRPr="00AB217B">
        <w:t xml:space="preserve"> </w:t>
      </w:r>
      <w:r w:rsidR="00DB18C8" w:rsidRPr="00AB217B">
        <w:t>T</w:t>
      </w:r>
      <w:r w:rsidR="009D6572" w:rsidRPr="00AB217B">
        <w:t xml:space="preserve">oto opatření bylo dne </w:t>
      </w:r>
      <w:r w:rsidR="00AA1432" w:rsidRPr="00AB217B">
        <w:t>13</w:t>
      </w:r>
      <w:r w:rsidR="001C6D2F" w:rsidRPr="00AB217B">
        <w:t xml:space="preserve">. </w:t>
      </w:r>
      <w:r w:rsidR="00AA1432" w:rsidRPr="00AB217B">
        <w:t>prosince</w:t>
      </w:r>
      <w:r w:rsidR="009D6572" w:rsidRPr="00AB217B">
        <w:t xml:space="preserve"> 20</w:t>
      </w:r>
      <w:r w:rsidR="001C6D2F" w:rsidRPr="00AB217B">
        <w:t>13</w:t>
      </w:r>
      <w:r w:rsidR="009D6572" w:rsidRPr="00AB217B">
        <w:t xml:space="preserve"> uveřejněno v částce </w:t>
      </w:r>
      <w:r w:rsidR="009E1FC2" w:rsidRPr="00AB217B">
        <w:t>20</w:t>
      </w:r>
      <w:r w:rsidR="009D6572" w:rsidRPr="00AB217B">
        <w:t>/20</w:t>
      </w:r>
      <w:r w:rsidR="001C6D2F" w:rsidRPr="00AB217B">
        <w:t>13</w:t>
      </w:r>
      <w:r w:rsidR="009D6572" w:rsidRPr="00AB217B">
        <w:t xml:space="preserve"> Telekomunikačního věstníku. </w:t>
      </w:r>
      <w:r w:rsidRPr="00AB217B">
        <w:t xml:space="preserve">Výsledky analýzy prokázaly, že trh č. </w:t>
      </w:r>
      <w:r w:rsidR="00B2749C" w:rsidRPr="00AB217B">
        <w:t>3</w:t>
      </w:r>
      <w:r w:rsidRPr="00AB217B">
        <w:t xml:space="preserve"> není efektivně konkurenčním trhem, neboť na něm působí podnik</w:t>
      </w:r>
      <w:r w:rsidR="007C3502" w:rsidRPr="00AB217B">
        <w:t xml:space="preserve"> </w:t>
      </w:r>
      <w:r w:rsidRPr="00AB217B">
        <w:t>s významnou tržní silou.</w:t>
      </w:r>
      <w:r w:rsidR="004F0D90" w:rsidRPr="00AB217B">
        <w:t xml:space="preserve"> </w:t>
      </w:r>
      <w:r w:rsidRPr="00AB217B">
        <w:t xml:space="preserve">Rozhodnutím správního orgánu </w:t>
      </w:r>
      <w:r w:rsidR="004F0D90" w:rsidRPr="00AB217B">
        <w:t>č. SMP/3/</w:t>
      </w:r>
      <w:r w:rsidR="001C6D2F" w:rsidRPr="00AB217B">
        <w:t>XX</w:t>
      </w:r>
      <w:r w:rsidR="004F0D90" w:rsidRPr="00AB217B">
        <w:t>.201</w:t>
      </w:r>
      <w:r w:rsidR="009E43FD" w:rsidRPr="00AB217B">
        <w:t>4</w:t>
      </w:r>
      <w:r w:rsidR="004F0D90" w:rsidRPr="00AB217B">
        <w:t>-</w:t>
      </w:r>
      <w:r w:rsidR="001C6D2F" w:rsidRPr="00AB217B">
        <w:t>X</w:t>
      </w:r>
      <w:r w:rsidR="004F0D90" w:rsidRPr="00AB217B">
        <w:t xml:space="preserve"> </w:t>
      </w:r>
      <w:r w:rsidRPr="00AB217B">
        <w:t xml:space="preserve">ze dne </w:t>
      </w:r>
      <w:r w:rsidR="001C6D2F" w:rsidRPr="00AB217B">
        <w:t>XX. XXXX</w:t>
      </w:r>
      <w:r w:rsidR="00C75D44" w:rsidRPr="00AB217B">
        <w:t xml:space="preserve"> 20</w:t>
      </w:r>
      <w:r w:rsidR="004F0D90" w:rsidRPr="00AB217B">
        <w:t>1</w:t>
      </w:r>
      <w:r w:rsidR="009E43FD" w:rsidRPr="00AB217B">
        <w:t>4</w:t>
      </w:r>
      <w:r w:rsidRPr="00AB217B">
        <w:t xml:space="preserve">, které bylo </w:t>
      </w:r>
      <w:r w:rsidR="00C75D44" w:rsidRPr="00AB217B">
        <w:t>vydáno pod čj.</w:t>
      </w:r>
      <w:r w:rsidR="001C6D2F" w:rsidRPr="00AB217B">
        <w:t xml:space="preserve"> ČTÚ-XX XXX</w:t>
      </w:r>
      <w:r w:rsidR="004F0D90" w:rsidRPr="00AB217B">
        <w:t>/20</w:t>
      </w:r>
      <w:r w:rsidR="009E43FD" w:rsidRPr="00AB217B">
        <w:t>14</w:t>
      </w:r>
      <w:r w:rsidR="004F0D90" w:rsidRPr="00AB217B">
        <w:t>-609/</w:t>
      </w:r>
      <w:r w:rsidR="001C6D2F" w:rsidRPr="00AB217B">
        <w:t>Y</w:t>
      </w:r>
      <w:r w:rsidR="004F0D90" w:rsidRPr="00AB217B">
        <w:t xml:space="preserve"> </w:t>
      </w:r>
      <w:proofErr w:type="spellStart"/>
      <w:r w:rsidR="004F0D90" w:rsidRPr="00AB217B">
        <w:t>vyř</w:t>
      </w:r>
      <w:proofErr w:type="spellEnd"/>
      <w:r w:rsidR="004F0D90" w:rsidRPr="00AB217B">
        <w:t xml:space="preserve">. </w:t>
      </w:r>
      <w:r w:rsidR="00C75D44" w:rsidRPr="00AB217B">
        <w:t>a nabylo právní</w:t>
      </w:r>
      <w:r w:rsidRPr="00AB217B">
        <w:t xml:space="preserve"> moci dne </w:t>
      </w:r>
      <w:r w:rsidR="001C6D2F" w:rsidRPr="00AB217B">
        <w:t>XX. XXXX</w:t>
      </w:r>
      <w:r w:rsidR="00C75D44" w:rsidRPr="00AB217B">
        <w:t xml:space="preserve"> 20</w:t>
      </w:r>
      <w:r w:rsidR="004F0D90" w:rsidRPr="00AB217B">
        <w:t>1</w:t>
      </w:r>
      <w:r w:rsidR="009E43FD" w:rsidRPr="00AB217B">
        <w:t>4</w:t>
      </w:r>
      <w:r w:rsidRPr="00AB217B">
        <w:t>, byl účastník řízení stanoven jako podnik s významnou tržní silou.</w:t>
      </w:r>
    </w:p>
    <w:p w:rsidR="002F6262" w:rsidRPr="00AB217B" w:rsidRDefault="007E13E9" w:rsidP="00C172FB">
      <w:pPr>
        <w:spacing w:after="120"/>
        <w:ind w:firstLine="709"/>
        <w:jc w:val="both"/>
      </w:pPr>
      <w:r w:rsidRPr="00AB217B">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384304" w:rsidRPr="00AB217B" w:rsidRDefault="00384304" w:rsidP="00C172FB">
      <w:pPr>
        <w:spacing w:before="240" w:after="120"/>
        <w:ind w:firstLine="709"/>
        <w:jc w:val="both"/>
      </w:pPr>
      <w:r w:rsidRPr="00AB217B">
        <w:t>K části I. výroku</w:t>
      </w:r>
    </w:p>
    <w:p w:rsidR="00364947" w:rsidRPr="008E126C" w:rsidRDefault="002F6262" w:rsidP="00C172FB">
      <w:pPr>
        <w:spacing w:after="120"/>
        <w:ind w:firstLine="709"/>
        <w:jc w:val="both"/>
      </w:pPr>
      <w:r w:rsidRPr="00AB217B">
        <w:rPr>
          <w:rFonts w:cs="Arial"/>
        </w:rPr>
        <w:t xml:space="preserve">Evropská komise vydala dne 7. května 2009 Doporučení o regulaci sazeb za ukončení volání v pevných a mobilních sítích </w:t>
      </w:r>
      <w:r w:rsidR="007E13E9" w:rsidRPr="00AB217B">
        <w:rPr>
          <w:rFonts w:cs="Arial"/>
        </w:rPr>
        <w:t xml:space="preserve">v </w:t>
      </w:r>
      <w:r w:rsidRPr="00AB217B">
        <w:rPr>
          <w:rFonts w:cs="Arial"/>
        </w:rPr>
        <w:t xml:space="preserve">EU (2009/396/ES, dále jen „Doporučení“), ve kterém jako </w:t>
      </w:r>
      <w:r w:rsidR="00B420B9" w:rsidRPr="00AB217B">
        <w:rPr>
          <w:rFonts w:cs="Arial"/>
        </w:rPr>
        <w:t xml:space="preserve">nejvhodnější </w:t>
      </w:r>
      <w:r w:rsidRPr="00AB217B">
        <w:rPr>
          <w:rFonts w:cs="Arial"/>
        </w:rPr>
        <w:t>metodu pro výpočet cen za terminaci stanoví metodu dlouhodobých přírůstkových nákladů (</w:t>
      </w:r>
      <w:r w:rsidR="00F6484D" w:rsidRPr="00AB217B">
        <w:rPr>
          <w:rFonts w:cs="Arial"/>
        </w:rPr>
        <w:t>„</w:t>
      </w:r>
      <w:proofErr w:type="spellStart"/>
      <w:r w:rsidR="00F6484D" w:rsidRPr="008E126C">
        <w:rPr>
          <w:rFonts w:cs="Arial"/>
        </w:rPr>
        <w:t>pure</w:t>
      </w:r>
      <w:proofErr w:type="spellEnd"/>
      <w:r w:rsidR="00F6484D" w:rsidRPr="008E126C">
        <w:rPr>
          <w:rFonts w:cs="Arial"/>
        </w:rPr>
        <w:t>“</w:t>
      </w:r>
      <w:r w:rsidRPr="008E126C">
        <w:rPr>
          <w:rFonts w:cs="Arial"/>
        </w:rPr>
        <w:t xml:space="preserve"> </w:t>
      </w:r>
      <w:r w:rsidR="009744CC" w:rsidRPr="008E126C">
        <w:rPr>
          <w:rFonts w:cs="Arial"/>
        </w:rPr>
        <w:t>BU-</w:t>
      </w:r>
      <w:r w:rsidRPr="008E126C">
        <w:rPr>
          <w:rFonts w:cs="Arial"/>
        </w:rPr>
        <w:t>LRIC</w:t>
      </w:r>
      <w:r w:rsidR="009744CC" w:rsidRPr="008E126C">
        <w:rPr>
          <w:rFonts w:cs="Arial"/>
        </w:rPr>
        <w:t>, dále také jen „LRIC“</w:t>
      </w:r>
      <w:r w:rsidRPr="008E126C">
        <w:rPr>
          <w:rFonts w:cs="Arial"/>
        </w:rPr>
        <w:t xml:space="preserve">), </w:t>
      </w:r>
      <w:r w:rsidR="00A11A89">
        <w:rPr>
          <w:rFonts w:cs="Arial"/>
        </w:rPr>
        <w:t>na jejímž základě by měly být do 31. prosince 2012 stanoveny terminační ceny</w:t>
      </w:r>
      <w:r w:rsidRPr="008E126C">
        <w:rPr>
          <w:rFonts w:cs="Arial"/>
        </w:rPr>
        <w:t>.</w:t>
      </w:r>
      <w:r w:rsidR="00090F88" w:rsidRPr="008E126C">
        <w:t xml:space="preserve"> </w:t>
      </w:r>
    </w:p>
    <w:p w:rsidR="00640F70" w:rsidRPr="008E126C" w:rsidRDefault="00191ECE" w:rsidP="00910453">
      <w:pPr>
        <w:spacing w:after="120"/>
        <w:ind w:firstLine="709"/>
        <w:jc w:val="both"/>
        <w:rPr>
          <w:rFonts w:cs="Arial"/>
        </w:rPr>
      </w:pPr>
      <w:r w:rsidRPr="008E126C">
        <w:rPr>
          <w:rFonts w:cs="Arial"/>
        </w:rPr>
        <w:t>Správní orgán je s ohledem na ustanovení § 108 odst. 3 Zákona povinen při výkonu své působnosti vycházet rovněž z doporučení Evropské komise.</w:t>
      </w:r>
      <w:r w:rsidR="00640F70" w:rsidRPr="008E126C">
        <w:t xml:space="preserve"> R</w:t>
      </w:r>
      <w:r w:rsidR="00640F70" w:rsidRPr="008E126C">
        <w:rPr>
          <w:rFonts w:cs="Arial"/>
        </w:rPr>
        <w:t xml:space="preserve">ozhodne-li se správní orgán nepostupovat podle doporučení </w:t>
      </w:r>
      <w:r w:rsidR="00F86563" w:rsidRPr="008E126C">
        <w:rPr>
          <w:rFonts w:cs="Arial"/>
        </w:rPr>
        <w:t>Evropské k</w:t>
      </w:r>
      <w:r w:rsidR="00640F70" w:rsidRPr="008E126C">
        <w:rPr>
          <w:rFonts w:cs="Arial"/>
        </w:rPr>
        <w:t>omise, kterým se harmonizuje uplatňování práva Evropské unie upravujícího oblast elektronických komunikací, bezodkladně o tom Evropskou komisi informuje spolu s odůvodněním takového postupu.</w:t>
      </w:r>
    </w:p>
    <w:p w:rsidR="00640F70" w:rsidRPr="008E126C" w:rsidRDefault="00640F70" w:rsidP="006A5464">
      <w:pPr>
        <w:spacing w:after="120"/>
        <w:ind w:firstLine="709"/>
        <w:jc w:val="both"/>
      </w:pPr>
      <w:r w:rsidRPr="008E126C">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9744CC" w:rsidRPr="008E126C" w:rsidRDefault="009744CC" w:rsidP="00C8452E">
      <w:pPr>
        <w:spacing w:after="120"/>
        <w:ind w:firstLine="709"/>
        <w:jc w:val="both"/>
      </w:pPr>
      <w:r w:rsidRPr="008E126C">
        <w:t>S ohledem na výše uvedené zákonné povinnosti a dále s ohledem na výsledky analýzy relevantního trhu č. 3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9744CC" w:rsidRPr="008E126C" w:rsidRDefault="009744CC" w:rsidP="00C172FB">
      <w:pPr>
        <w:spacing w:after="120"/>
        <w:ind w:firstLine="709"/>
        <w:jc w:val="both"/>
      </w:pPr>
      <w:r w:rsidRPr="008E126C">
        <w:t>Důvodem, proč správní orgán považuje výpočet regulované ceny metodou (čistého nebo také „</w:t>
      </w:r>
      <w:proofErr w:type="spellStart"/>
      <w:r w:rsidRPr="008E126C">
        <w:t>pure</w:t>
      </w:r>
      <w:proofErr w:type="spellEnd"/>
      <w:r w:rsidRPr="008E126C">
        <w:t>“)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191ECE" w:rsidRPr="008E126C" w:rsidRDefault="009744CC" w:rsidP="00CA0FAF">
      <w:pPr>
        <w:spacing w:after="120"/>
        <w:ind w:firstLine="709"/>
        <w:jc w:val="both"/>
      </w:pPr>
      <w:r w:rsidRPr="008E126C">
        <w:t xml:space="preserve">Ze samotné definice metody přírůstkových nákladů </w:t>
      </w:r>
      <w:r w:rsidR="00120905" w:rsidRPr="008E126C">
        <w:t xml:space="preserve">přitom </w:t>
      </w:r>
      <w:r w:rsidRPr="008E126C">
        <w:t>vyplývá, že v regulované velkoobchodní ceně za terminaci dochází k pokrytí všech přírůstkových (dodatečných) nákladů, vyvolaných poskytováním velkoobchodní služby terminace teoretickým efektivním operátorem.</w:t>
      </w:r>
      <w:r w:rsidR="00120905" w:rsidRPr="008E126C">
        <w:t xml:space="preserve"> Do výpočtu regulované ceny tak nebyly zahrnuty společné a sdílené náklady, které nejsou přímo přiřaditelné (tj. přímo vyvolané) žádnou konkrétní službou, tedy ani službou velkoobchodní terminace. Jinými slovy by společné a sdílené náklady</w:t>
      </w:r>
      <w:r w:rsidR="00BB0230" w:rsidRPr="008E126C">
        <w:t xml:space="preserve"> účastníku řízení</w:t>
      </w:r>
      <w:r w:rsidRPr="008E126C">
        <w:t xml:space="preserve"> vznikly </w:t>
      </w:r>
      <w:r w:rsidRPr="008E126C">
        <w:lastRenderedPageBreak/>
        <w:t>i bez poskytování velkoobchodní služby terminace a musel by je tak zahrnout do</w:t>
      </w:r>
      <w:r w:rsidR="00120905" w:rsidRPr="008E126C">
        <w:t xml:space="preserve"> cen ostatních služeb obdobně</w:t>
      </w:r>
      <w:r w:rsidRPr="008E126C">
        <w:t>, jako je bude muset do cen těchto služeb zahrn</w:t>
      </w:r>
      <w:r w:rsidR="00120905" w:rsidRPr="008E126C">
        <w:t>out i při aplikaci metody</w:t>
      </w:r>
      <w:r w:rsidRPr="008E126C">
        <w:t xml:space="preserve"> LRIC pro stanovení velkoobchodní ceny za terminaci.</w:t>
      </w:r>
    </w:p>
    <w:p w:rsidR="00E11820" w:rsidRPr="008E126C" w:rsidRDefault="00E11820" w:rsidP="00910453">
      <w:pPr>
        <w:spacing w:after="120"/>
        <w:ind w:firstLine="709"/>
        <w:jc w:val="both"/>
        <w:rPr>
          <w:rFonts w:cs="Arial"/>
        </w:rPr>
      </w:pPr>
      <w:r w:rsidRPr="008E126C">
        <w:rPr>
          <w:rFonts w:cs="Arial"/>
        </w:rPr>
        <w:t>Správní orgán se oproti dosavadní praxi</w:t>
      </w:r>
      <w:r w:rsidR="00017B36">
        <w:rPr>
          <w:rFonts w:cs="Arial"/>
        </w:rPr>
        <w:t xml:space="preserve"> při cenové regulaci na tomto relevantním trhu (</w:t>
      </w:r>
      <w:r w:rsidRPr="008E126C">
        <w:rPr>
          <w:rFonts w:cs="Arial"/>
        </w:rPr>
        <w:t xml:space="preserve">patrné např. </w:t>
      </w:r>
      <w:r w:rsidR="00017B36">
        <w:rPr>
          <w:rFonts w:cs="Arial"/>
        </w:rPr>
        <w:t xml:space="preserve">v </w:t>
      </w:r>
      <w:r w:rsidRPr="008E126C">
        <w:rPr>
          <w:rFonts w:cs="Arial"/>
        </w:rPr>
        <w:t>rozhodnutí o ceně č. CEN/3/04.2010-67</w:t>
      </w:r>
      <w:r w:rsidR="00017B36">
        <w:rPr>
          <w:rFonts w:cs="Arial"/>
        </w:rPr>
        <w:t xml:space="preserve"> pro společnost Telefónica Czech Republic, a.s. z roku 2010)</w:t>
      </w:r>
      <w:r w:rsidRPr="008E126C">
        <w:rPr>
          <w:rFonts w:cs="Arial"/>
        </w:rPr>
        <w:t xml:space="preserve"> rozhodl nestanovovat ceny za terminaci v rozlišení podle úrovně propojení (místní a poslední tranzitní ústředna) ani v rozlišení podle času, ve kterém k terminaci volání dochází (silný a slabý provoz), a stanovil, rovněž v souladu s dlouholetou praxí při regulaci cen za terminaci v mobilní síti a nově i s praxí při regulaci cen za originaci v pevné síti, jednu maximální regulovanou cenu. Důvodem je stanovení ceny pro službu poskytovanou teoretickým efektivním operátorem prostřednictvím nově budované sítě, jejíž topologie a síťové prvky již nevychází ze současné PSTN sítě, ale ze sítě nové generace (NGN – </w:t>
      </w:r>
      <w:proofErr w:type="spellStart"/>
      <w:r w:rsidRPr="008E126C">
        <w:rPr>
          <w:rFonts w:cs="Arial"/>
        </w:rPr>
        <w:t>Next</w:t>
      </w:r>
      <w:proofErr w:type="spellEnd"/>
      <w:r w:rsidRPr="008E126C">
        <w:rPr>
          <w:rFonts w:cs="Arial"/>
        </w:rPr>
        <w:t xml:space="preserve"> </w:t>
      </w:r>
      <w:proofErr w:type="spellStart"/>
      <w:r w:rsidRPr="008E126C">
        <w:rPr>
          <w:rFonts w:cs="Arial"/>
        </w:rPr>
        <w:t>Generation</w:t>
      </w:r>
      <w:proofErr w:type="spellEnd"/>
      <w:r w:rsidRPr="008E126C">
        <w:rPr>
          <w:rFonts w:cs="Arial"/>
        </w:rPr>
        <w:t xml:space="preserve"> </w:t>
      </w:r>
      <w:proofErr w:type="spellStart"/>
      <w:r w:rsidRPr="008E126C">
        <w:rPr>
          <w:rFonts w:cs="Arial"/>
        </w:rPr>
        <w:t>Networks</w:t>
      </w:r>
      <w:proofErr w:type="spellEnd"/>
      <w:r w:rsidRPr="008E126C">
        <w:rPr>
          <w:rFonts w:cs="Arial"/>
        </w:rPr>
        <w:t xml:space="preserve">). V takto postavené síti by k propojení dvou sítí již pravděpodobně nedocházelo na více síťových úrovních (jako k tomu mohlo docházet ve stávajících PSTN sítích na místní a tranzitní ústředně), ale pouze na jedné úrovni, které odpovídá i cena uvedená ve výroku I. tohoto rozhodnutí (cena odpovídá propojení na tzv.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Tím však správní orgán striktně nevylučuje ani možnost propojení na více úrovních NGN sítě v případě, že se na něm smluvní strany dohodnou (např. obdobou propojení na místní ústředně může být propojení na </w:t>
      </w:r>
      <w:proofErr w:type="spellStart"/>
      <w:r w:rsidRPr="008E126C">
        <w:rPr>
          <w:rFonts w:cs="Arial"/>
        </w:rPr>
        <w:t>Local</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obdobou propojení na tranzitní ústředně pak propojení na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w:t>
      </w:r>
    </w:p>
    <w:p w:rsidR="00E1419D" w:rsidRPr="008E126C" w:rsidRDefault="00E1419D" w:rsidP="00910453">
      <w:pPr>
        <w:spacing w:after="120"/>
        <w:ind w:firstLine="709"/>
        <w:jc w:val="both"/>
        <w:rPr>
          <w:rFonts w:cs="Arial"/>
        </w:rPr>
      </w:pPr>
      <w:r w:rsidRPr="008E126C">
        <w:rPr>
          <w:rFonts w:cs="Arial"/>
        </w:rPr>
        <w:t xml:space="preserve">Dalším důvodem, který správní orgán vedl ke stanovení pouze jedné ceny za terminaci je i skutečnost, </w:t>
      </w:r>
      <w:r w:rsidR="009020B5" w:rsidRPr="008E126C">
        <w:rPr>
          <w:rFonts w:cs="Arial"/>
        </w:rPr>
        <w:t>že faktické rozdíly ve výši cen</w:t>
      </w:r>
      <w:r w:rsidRPr="008E126C">
        <w:rPr>
          <w:rFonts w:cs="Arial"/>
        </w:rPr>
        <w:t xml:space="preserve"> pro jednotlivé uvažované úrovně propojení jsou v NGN síti natolik malé, že je sporné, nakolik by tyto rozdíly v cenách, s ohledem na administrativní náklady spojené s jejich </w:t>
      </w:r>
      <w:r w:rsidR="009020B5" w:rsidRPr="008E126C">
        <w:rPr>
          <w:rFonts w:cs="Arial"/>
        </w:rPr>
        <w:t xml:space="preserve">vedením (nastavení cen v interních systémech, </w:t>
      </w:r>
      <w:proofErr w:type="spellStart"/>
      <w:r w:rsidR="009020B5" w:rsidRPr="008E126C">
        <w:rPr>
          <w:rFonts w:cs="Arial"/>
        </w:rPr>
        <w:t>billing</w:t>
      </w:r>
      <w:proofErr w:type="spellEnd"/>
      <w:r w:rsidR="009020B5" w:rsidRPr="008E126C">
        <w:rPr>
          <w:rFonts w:cs="Arial"/>
        </w:rPr>
        <w:t>)</w:t>
      </w:r>
      <w:r w:rsidRPr="008E126C">
        <w:rPr>
          <w:rFonts w:cs="Arial"/>
        </w:rPr>
        <w:t>, motivovaly jednotlivé operátory k dalšímu budování sítě a propojovacích bodů blíže koncovým účastníkům.</w:t>
      </w:r>
    </w:p>
    <w:p w:rsidR="00190D1C" w:rsidRPr="008E126C" w:rsidRDefault="00E11820" w:rsidP="00C172FB">
      <w:pPr>
        <w:spacing w:after="120"/>
        <w:ind w:firstLine="709"/>
        <w:jc w:val="both"/>
      </w:pPr>
      <w:r w:rsidRPr="008E126C">
        <w:rPr>
          <w:rFonts w:cs="Arial"/>
        </w:rPr>
        <w:t xml:space="preserve">Důvodem pro změnu charakteru modelované sítě, prostřednictvím které je regulovaná služba </w:t>
      </w:r>
      <w:r w:rsidR="00CA0FAF" w:rsidRPr="008E126C">
        <w:rPr>
          <w:rFonts w:cs="Arial"/>
        </w:rPr>
        <w:t>terminace</w:t>
      </w:r>
      <w:r w:rsidRPr="008E126C">
        <w:rPr>
          <w:rFonts w:cs="Arial"/>
        </w:rPr>
        <w:t xml:space="preserve"> poskytována, je </w:t>
      </w:r>
      <w:r w:rsidR="00017B36">
        <w:rPr>
          <w:rFonts w:cs="Arial"/>
        </w:rPr>
        <w:t>i</w:t>
      </w:r>
      <w:r w:rsidR="00017B36" w:rsidRPr="008E126C">
        <w:rPr>
          <w:rFonts w:cs="Arial"/>
        </w:rPr>
        <w:t xml:space="preserve"> </w:t>
      </w:r>
      <w:r w:rsidRPr="008E126C">
        <w:rPr>
          <w:rFonts w:cs="Arial"/>
        </w:rPr>
        <w:t xml:space="preserve">snaha správního orgánu o zachování konzistentního přístupu při vyčíslení nákladů </w:t>
      </w:r>
      <w:r w:rsidR="00CA0FAF" w:rsidRPr="008E126C">
        <w:rPr>
          <w:rFonts w:cs="Arial"/>
        </w:rPr>
        <w:t>terminace</w:t>
      </w:r>
      <w:r w:rsidRPr="008E126C">
        <w:rPr>
          <w:rFonts w:cs="Arial"/>
        </w:rPr>
        <w:t xml:space="preserve"> a </w:t>
      </w:r>
      <w:proofErr w:type="spellStart"/>
      <w:r w:rsidR="00CA0FAF" w:rsidRPr="008E126C">
        <w:rPr>
          <w:rFonts w:cs="Arial"/>
        </w:rPr>
        <w:t>originace</w:t>
      </w:r>
      <w:proofErr w:type="spellEnd"/>
      <w:r w:rsidRPr="008E126C">
        <w:rPr>
          <w:rFonts w:cs="Arial"/>
        </w:rPr>
        <w:t xml:space="preserve"> volání poskytovaných v téže pevné síti postavené na architektuře NGN. V situaci, kdy správní orgán předpokládá poskytování služeb </w:t>
      </w:r>
      <w:proofErr w:type="spellStart"/>
      <w:r w:rsidR="00CA0FAF" w:rsidRPr="008E126C">
        <w:rPr>
          <w:rFonts w:cs="Arial"/>
        </w:rPr>
        <w:t>originace</w:t>
      </w:r>
      <w:proofErr w:type="spellEnd"/>
      <w:r w:rsidRPr="008E126C">
        <w:rPr>
          <w:rFonts w:cs="Arial"/>
        </w:rPr>
        <w:t xml:space="preserve"> v pevném místě teoretickým efektivním operátorem prostřednictvím NGN sítě, je oprávněné přepokládat, že stejně efektivní teoretický operátor bude prostřednictvím téže NGN sítě poskytovat i služby </w:t>
      </w:r>
      <w:r w:rsidR="00CA0FAF" w:rsidRPr="008E126C">
        <w:rPr>
          <w:rFonts w:cs="Arial"/>
        </w:rPr>
        <w:t>terminace</w:t>
      </w:r>
      <w:r w:rsidRPr="008E126C">
        <w:rPr>
          <w:rFonts w:cs="Arial"/>
        </w:rPr>
        <w:t>.</w:t>
      </w:r>
    </w:p>
    <w:p w:rsidR="000D1279" w:rsidRPr="008E126C" w:rsidRDefault="00910453" w:rsidP="00C172FB">
      <w:pPr>
        <w:spacing w:after="120"/>
        <w:ind w:firstLine="709"/>
        <w:jc w:val="both"/>
      </w:pPr>
      <w:r w:rsidRPr="008E126C">
        <w:rPr>
          <w:rFonts w:cs="Arial"/>
        </w:rPr>
        <w:t>Samotný n</w:t>
      </w:r>
      <w:r w:rsidR="00190D1C" w:rsidRPr="008E126C">
        <w:rPr>
          <w:rFonts w:cs="Arial"/>
        </w:rPr>
        <w:t>ákladový</w:t>
      </w:r>
      <w:r w:rsidR="00190D1C" w:rsidRPr="008E126C">
        <w:t xml:space="preserve"> model</w:t>
      </w:r>
      <w:r w:rsidR="002F6262" w:rsidRPr="008E126C">
        <w:t xml:space="preserve"> „</w:t>
      </w:r>
      <w:proofErr w:type="spellStart"/>
      <w:r w:rsidR="002F6262" w:rsidRPr="008E126C">
        <w:t>pure</w:t>
      </w:r>
      <w:proofErr w:type="spellEnd"/>
      <w:r w:rsidR="002F6262" w:rsidRPr="008E126C">
        <w:t>“</w:t>
      </w:r>
      <w:r w:rsidR="00190D1C" w:rsidRPr="008E126C">
        <w:t xml:space="preserve"> </w:t>
      </w:r>
      <w:r w:rsidR="000D1279" w:rsidRPr="008E126C">
        <w:t xml:space="preserve">LRIC pro ukončení volání v pevné síti </w:t>
      </w:r>
      <w:r w:rsidR="00190D1C" w:rsidRPr="008E126C">
        <w:t xml:space="preserve">byl vytvořen ve spolupráci s externí poradenskou společností. </w:t>
      </w:r>
      <w:r w:rsidR="000D1279" w:rsidRPr="008E126C">
        <w:t xml:space="preserve">Tento nákladový model je model založený na postupu </w:t>
      </w:r>
      <w:r w:rsidR="002F6262" w:rsidRPr="008E126C">
        <w:t>„</w:t>
      </w:r>
      <w:r w:rsidR="000D1279" w:rsidRPr="008E126C">
        <w:t>zdola nahoru</w:t>
      </w:r>
      <w:r w:rsidR="002F6262" w:rsidRPr="008E126C">
        <w:t>“</w:t>
      </w:r>
      <w:r w:rsidR="000D1279" w:rsidRPr="008E126C">
        <w:t xml:space="preserve"> (</w:t>
      </w:r>
      <w:proofErr w:type="spellStart"/>
      <w:r w:rsidR="000D1279" w:rsidRPr="008E126C">
        <w:t>bottom</w:t>
      </w:r>
      <w:proofErr w:type="spellEnd"/>
      <w:r w:rsidR="000D1279" w:rsidRPr="008E126C">
        <w:t xml:space="preserve">-up) a kalkuluje cenu založenou na nákladech pevné sítě efektivního operátora. Tato modelovaná síť je založena na </w:t>
      </w:r>
      <w:r w:rsidR="001F213E" w:rsidRPr="008E126C">
        <w:t xml:space="preserve">všech používaných </w:t>
      </w:r>
      <w:r w:rsidR="000D1279" w:rsidRPr="008E126C">
        <w:t xml:space="preserve">technologiích, zohledňuje však i </w:t>
      </w:r>
      <w:r w:rsidR="006B7AA2">
        <w:t>provozní údaje,</w:t>
      </w:r>
      <w:r w:rsidR="006B7AA2" w:rsidRPr="008E126C">
        <w:t xml:space="preserve"> náklady </w:t>
      </w:r>
      <w:r w:rsidR="006B7AA2">
        <w:t xml:space="preserve">a </w:t>
      </w:r>
      <w:r w:rsidR="000D1279" w:rsidRPr="008E126C">
        <w:t xml:space="preserve">současnou topologii </w:t>
      </w:r>
      <w:r w:rsidR="00B56D86" w:rsidRPr="008E126C">
        <w:t xml:space="preserve">sítě </w:t>
      </w:r>
      <w:r w:rsidR="006B7AA2">
        <w:t xml:space="preserve">společnosti </w:t>
      </w:r>
      <w:r w:rsidR="006B7AA2" w:rsidRPr="009700D9">
        <w:t>Telefónica Czech Republic, a.s.,</w:t>
      </w:r>
      <w:r w:rsidR="006B7AA2">
        <w:t xml:space="preserve"> jako největšího operátora působícího na relevantním trhu, který disponuje celonárodním síťovým pokrytím</w:t>
      </w:r>
      <w:r w:rsidR="000D1279" w:rsidRPr="008E126C">
        <w:t>.</w:t>
      </w:r>
      <w:r w:rsidR="006B7AA2">
        <w:t xml:space="preserve"> Tomuto jedinému operátoru byla také na základě výsledků analýzy relevantního trhu navržena povinnost vést oddělenou evidenci nákladů a výnosů, a to mimo jiné i za účelem zajištění vstupů do nákladového modelu.</w:t>
      </w:r>
      <w:r w:rsidR="000D1279" w:rsidRPr="008E126C">
        <w:t xml:space="preserve"> Páteřní síť je založena na síti </w:t>
      </w:r>
      <w:proofErr w:type="spellStart"/>
      <w:r w:rsidR="000D1279" w:rsidRPr="008E126C">
        <w:t>Next</w:t>
      </w:r>
      <w:proofErr w:type="spellEnd"/>
      <w:r w:rsidR="000D1279" w:rsidRPr="008E126C">
        <w:t>-</w:t>
      </w:r>
      <w:proofErr w:type="spellStart"/>
      <w:r w:rsidR="000D1279" w:rsidRPr="008E126C">
        <w:t>Generation</w:t>
      </w:r>
      <w:proofErr w:type="spellEnd"/>
      <w:r w:rsidR="000D1279" w:rsidRPr="008E126C">
        <w:t xml:space="preserve">-Network (NGN). </w:t>
      </w:r>
    </w:p>
    <w:p w:rsidR="00190D1C" w:rsidRPr="008E126C" w:rsidRDefault="000D1279" w:rsidP="00C172FB">
      <w:pPr>
        <w:spacing w:after="120"/>
        <w:ind w:firstLine="709"/>
        <w:jc w:val="both"/>
      </w:pPr>
      <w:r w:rsidRPr="008E126C">
        <w:t xml:space="preserve">Nákladový model LRIC </w:t>
      </w:r>
      <w:r w:rsidR="00910453" w:rsidRPr="008E126C">
        <w:t>správní orgán</w:t>
      </w:r>
      <w:r w:rsidR="00DD7A13" w:rsidRPr="008E126C">
        <w:t xml:space="preserve"> </w:t>
      </w:r>
      <w:r w:rsidR="00190D1C" w:rsidRPr="008E126C">
        <w:t xml:space="preserve">během </w:t>
      </w:r>
      <w:r w:rsidR="00DD7A13" w:rsidRPr="008E126C">
        <w:t>jeho tvorby průběžně konzultoval s</w:t>
      </w:r>
      <w:r w:rsidR="002F6262" w:rsidRPr="008E126C">
        <w:t>e</w:t>
      </w:r>
      <w:r w:rsidR="00B326AD" w:rsidRPr="008E126C">
        <w:t> zástupci</w:t>
      </w:r>
      <w:r w:rsidR="002F6262" w:rsidRPr="008E126C">
        <w:t xml:space="preserve"> provozovatelů</w:t>
      </w:r>
      <w:r w:rsidR="00B326AD" w:rsidRPr="008E126C">
        <w:t xml:space="preserve"> mobilních a p</w:t>
      </w:r>
      <w:r w:rsidR="00DD7A13" w:rsidRPr="008E126C">
        <w:t>e</w:t>
      </w:r>
      <w:r w:rsidR="00B326AD" w:rsidRPr="008E126C">
        <w:t>vných sítí</w:t>
      </w:r>
      <w:r w:rsidR="00DD7A13" w:rsidRPr="008E126C">
        <w:t xml:space="preserve"> v rámci pracovních jednání, na kterých </w:t>
      </w:r>
      <w:r w:rsidR="00B326AD" w:rsidRPr="008E126C">
        <w:t xml:space="preserve">operátoři </w:t>
      </w:r>
      <w:r w:rsidR="00911361" w:rsidRPr="008E126C">
        <w:t>mohl</w:t>
      </w:r>
      <w:r w:rsidR="00B326AD" w:rsidRPr="008E126C">
        <w:t>i</w:t>
      </w:r>
      <w:r w:rsidR="00911361" w:rsidRPr="008E126C">
        <w:t xml:space="preserve"> </w:t>
      </w:r>
      <w:r w:rsidR="00DD7A13" w:rsidRPr="008E126C">
        <w:t xml:space="preserve">vznášet své připomínky k modelu a návrhy na změny ve všech jednotlivých fázích jeho tvorby. </w:t>
      </w:r>
      <w:hyperlink r:id="rId8" w:history="1">
        <w:r w:rsidR="00DD7A13" w:rsidRPr="008E126C">
          <w:rPr>
            <w:rStyle w:val="Hypertextovodkaz"/>
          </w:rPr>
          <w:t xml:space="preserve">Nákladový model </w:t>
        </w:r>
        <w:r w:rsidR="005B3B60" w:rsidRPr="008E126C">
          <w:rPr>
            <w:rStyle w:val="Hypertextovodkaz"/>
          </w:rPr>
          <w:t>„</w:t>
        </w:r>
        <w:proofErr w:type="spellStart"/>
        <w:r w:rsidR="005B3B60" w:rsidRPr="008E126C">
          <w:rPr>
            <w:rStyle w:val="Hypertextovodkaz"/>
          </w:rPr>
          <w:t>pure</w:t>
        </w:r>
        <w:proofErr w:type="spellEnd"/>
        <w:r w:rsidR="005B3B60" w:rsidRPr="008E126C">
          <w:rPr>
            <w:rStyle w:val="Hypertextovodkaz"/>
          </w:rPr>
          <w:t xml:space="preserve">“ </w:t>
        </w:r>
        <w:r w:rsidR="00DD7A13" w:rsidRPr="008E126C">
          <w:rPr>
            <w:rStyle w:val="Hypertextovodkaz"/>
          </w:rPr>
          <w:t>LRIC</w:t>
        </w:r>
      </w:hyperlink>
      <w:r w:rsidR="00B56D86" w:rsidRPr="008E126C">
        <w:t xml:space="preserve">, který </w:t>
      </w:r>
      <w:r w:rsidR="00910453" w:rsidRPr="008E126C">
        <w:t xml:space="preserve">správní orgán </w:t>
      </w:r>
      <w:r w:rsidR="00B56D86" w:rsidRPr="008E126C">
        <w:t>použil pro stanovení maximální výše ceny podle tohoto rozhodnutí,</w:t>
      </w:r>
      <w:r w:rsidR="00DD7A13" w:rsidRPr="008E126C">
        <w:t xml:space="preserve"> </w:t>
      </w:r>
      <w:r w:rsidR="005B3B60" w:rsidRPr="008E126C">
        <w:t>je zveřejněn na internetových stránkách Úřadu</w:t>
      </w:r>
      <w:r w:rsidR="0017556F" w:rsidRPr="008E126C">
        <w:t xml:space="preserve">, včetně </w:t>
      </w:r>
      <w:hyperlink r:id="rId9" w:history="1">
        <w:r w:rsidR="0017556F" w:rsidRPr="008E126C">
          <w:rPr>
            <w:rStyle w:val="Hypertextovodkaz"/>
          </w:rPr>
          <w:t>dokumentu</w:t>
        </w:r>
      </w:hyperlink>
      <w:r w:rsidR="0017556F" w:rsidRPr="008E126C">
        <w:t xml:space="preserve"> popisujícího teoretická východiska a metodologické principy modelu a včetně </w:t>
      </w:r>
      <w:hyperlink r:id="rId10" w:history="1">
        <w:r w:rsidR="0017556F" w:rsidRPr="008E126C">
          <w:rPr>
            <w:rStyle w:val="Hypertextovodkaz"/>
          </w:rPr>
          <w:t>příručky pro uživatele funkcí modelu BU-LRIC pro pevnou síť</w:t>
        </w:r>
      </w:hyperlink>
      <w:r w:rsidR="005B3B60" w:rsidRPr="008E126C">
        <w:t>.</w:t>
      </w:r>
    </w:p>
    <w:p w:rsidR="002F6262" w:rsidRPr="008E126C" w:rsidRDefault="002F6262" w:rsidP="00BA25BA">
      <w:pPr>
        <w:spacing w:after="120"/>
        <w:ind w:firstLine="709"/>
        <w:jc w:val="both"/>
      </w:pPr>
      <w:r w:rsidRPr="008E126C">
        <w:t xml:space="preserve">Při výpočtu terminační ceny </w:t>
      </w:r>
      <w:r w:rsidR="007E13E9">
        <w:t>správní orgán</w:t>
      </w:r>
      <w:r w:rsidR="007E13E9" w:rsidRPr="008E126C">
        <w:t xml:space="preserve"> </w:t>
      </w:r>
      <w:r w:rsidRPr="008E126C">
        <w:t xml:space="preserve">použil procento návratnosti vloženého kapitálu před zdaněním WACC ve výši 8,26 % stanovené v opatření obecné povahy č. </w:t>
      </w:r>
      <w:r w:rsidRPr="008E126C">
        <w:lastRenderedPageBreak/>
        <w:t>OOP/4/03.2006-3,</w:t>
      </w:r>
      <w:r w:rsidR="00C1507C" w:rsidRPr="008E126C">
        <w:t xml:space="preserve"> </w:t>
      </w:r>
      <w:r w:rsidRPr="008E126C">
        <w:t>kterým se stanoví metodika účelového členění nákladů a výnosů a jejich přiřazování a určuje se struktura vykazovaných informací, ve znění pozdějších opatření.</w:t>
      </w:r>
    </w:p>
    <w:p w:rsidR="00190D1C" w:rsidRPr="008E126C" w:rsidRDefault="002F6262" w:rsidP="00BA25BA">
      <w:pPr>
        <w:spacing w:after="120"/>
        <w:ind w:firstLine="709"/>
        <w:jc w:val="both"/>
      </w:pPr>
      <w:r w:rsidRPr="008E126C">
        <w:t>S použitím výše uvedeného nákladového modelu „</w:t>
      </w:r>
      <w:proofErr w:type="spellStart"/>
      <w:r w:rsidRPr="008E126C">
        <w:t>pure</w:t>
      </w:r>
      <w:proofErr w:type="spellEnd"/>
      <w:r w:rsidRPr="008E126C">
        <w:t>“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 účelně vynaložené přírůstkové náklady spojené výhradně s velkoobchodní službou terminace.</w:t>
      </w:r>
    </w:p>
    <w:p w:rsidR="00B56D86" w:rsidRPr="008E126C" w:rsidRDefault="00B56D86" w:rsidP="00BA25BA">
      <w:pPr>
        <w:spacing w:after="120"/>
        <w:ind w:firstLine="709"/>
        <w:jc w:val="both"/>
      </w:pPr>
      <w:r w:rsidRPr="008E126C">
        <w:t>Použitý model obsahující vstupní data</w:t>
      </w:r>
      <w:r w:rsidR="00FD6514">
        <w:t xml:space="preserve"> pro teoretického efektivního operátora</w:t>
      </w:r>
      <w:r w:rsidRPr="008E126C">
        <w:t xml:space="preserve"> je součástí spisového materiálu správního řízení ve věci vydání tohoto</w:t>
      </w:r>
      <w:r w:rsidR="00180F30" w:rsidRPr="008E126C">
        <w:t xml:space="preserve"> rozhodnutí. </w:t>
      </w:r>
      <w:r w:rsidR="009629DC" w:rsidRPr="008E126C">
        <w:t xml:space="preserve">Ze </w:t>
      </w:r>
      <w:r w:rsidRPr="008E126C">
        <w:t xml:space="preserve">zveřejněného i naplněného modelu jsou patrné všechny kalkulační postupy, které byly použity při kalkulaci ceny </w:t>
      </w:r>
      <w:r w:rsidRPr="008E126C">
        <w:rPr>
          <w:rFonts w:cs="Arial"/>
        </w:rPr>
        <w:t xml:space="preserve">za službu ukončení volání (terminace) v pevné síti. </w:t>
      </w:r>
    </w:p>
    <w:p w:rsidR="0079226E" w:rsidRPr="008E126C" w:rsidRDefault="0079226E" w:rsidP="003A42A1">
      <w:pPr>
        <w:spacing w:after="120"/>
        <w:ind w:firstLine="709"/>
        <w:jc w:val="both"/>
      </w:pPr>
      <w:r w:rsidRPr="008E126C">
        <w:t>Správní orgán se s ohledem na zjištění a závěry učiněné v analýze relevantního trhu č. 3 (viz kapitola Ceny a ziskovost) rozhodl vyjmout z regulace služby terminace volání příchozí ze zemí mimo Evropský hospodářský prostor (dále jen „EHP“)</w:t>
      </w:r>
      <w:r w:rsidRPr="008E126C">
        <w:rPr>
          <w:rStyle w:val="Znakapoznpodarou"/>
        </w:rPr>
        <w:footnoteReference w:id="1"/>
      </w:r>
      <w:r w:rsidRPr="008E126C">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maloobchodní ceně volání hradit i</w:t>
      </w:r>
      <w:r w:rsidR="009E43FD">
        <w:t> </w:t>
      </w:r>
      <w:r w:rsidRPr="008E126C">
        <w:t>vyšší velkoobchodní cenu terminace (pokrývající ve většině případů větší část nákladů, než by odpovídala metodě „</w:t>
      </w:r>
      <w:proofErr w:type="spellStart"/>
      <w:r w:rsidRPr="008E126C">
        <w:t>pure</w:t>
      </w:r>
      <w:proofErr w:type="spellEnd"/>
      <w:r w:rsidRPr="008E126C">
        <w:t>“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3A42A1" w:rsidRPr="008E126C" w:rsidRDefault="00496304" w:rsidP="00D707EB">
      <w:pPr>
        <w:spacing w:after="120"/>
        <w:ind w:firstLine="709"/>
        <w:jc w:val="both"/>
      </w:pPr>
      <w:r w:rsidRPr="008E126C">
        <w:t>Správní orgán zvažoval při přípravě návrhu tohoto rozhodnutí o ceně, zda, s ohledem na výrazný pokles regulovaných cen, nerozložit tento pokles do více postupných kroků</w:t>
      </w:r>
      <w:r w:rsidR="00A103EE" w:rsidRPr="008E126C">
        <w:t xml:space="preserve"> (</w:t>
      </w:r>
      <w:proofErr w:type="spellStart"/>
      <w:r w:rsidR="00A103EE" w:rsidRPr="008E126C">
        <w:t>glide</w:t>
      </w:r>
      <w:proofErr w:type="spellEnd"/>
      <w:r w:rsidR="00A103EE" w:rsidRPr="008E126C">
        <w:t xml:space="preserve"> </w:t>
      </w:r>
      <w:proofErr w:type="spellStart"/>
      <w:r w:rsidR="00A103EE" w:rsidRPr="008E126C">
        <w:t>path</w:t>
      </w:r>
      <w:proofErr w:type="spellEnd"/>
      <w:r w:rsidR="00A103EE" w:rsidRPr="008E126C">
        <w:t>)</w:t>
      </w:r>
      <w:r w:rsidRPr="008E126C">
        <w:t xml:space="preserve"> tak, aby zmírnil dopad do podnikatelského prostředí a na investiční záměry regulovaného operátora (účastníka řízení). Obdobným způsobem správní orgán v minulosti postupoval například při regulaci terminačních cen na relevantním trhu č. 7</w:t>
      </w:r>
      <w:r w:rsidR="00A103EE" w:rsidRPr="008E126C">
        <w:t>. K tomuto kroku však nakonec správní orgán nepřistoupil</w:t>
      </w:r>
      <w:r w:rsidR="009E5C57">
        <w:t>. Důvodem je zejména skutečnost, že k uplatnění cen metodou LRIC dochází v pozdějším termínu, než jaký předpokládá Doporučení (nejpozději k 31. prosinci 2012).</w:t>
      </w:r>
      <w:r w:rsidR="00A103EE" w:rsidRPr="008E126C">
        <w:t xml:space="preserve"> </w:t>
      </w:r>
      <w:r w:rsidR="005914CC" w:rsidRPr="008E126C">
        <w:t>S ohledem na tento odklad v</w:t>
      </w:r>
      <w:r w:rsidR="009B64C7" w:rsidRPr="008E126C">
        <w:t> </w:t>
      </w:r>
      <w:r w:rsidR="005914CC" w:rsidRPr="008E126C">
        <w:t>přijetí</w:t>
      </w:r>
      <w:r w:rsidR="009B64C7" w:rsidRPr="008E126C">
        <w:t xml:space="preserve"> a následném uplatňování</w:t>
      </w:r>
      <w:r w:rsidR="005914CC" w:rsidRPr="008E126C">
        <w:t xml:space="preserve"> cen založených na metodice LRIC se správní orgán rozhodl aplikaci těchto cen již déle neoddalovat a rozhodl tak, jak je uvedeno v části I. výroku tohoto rozhodnutí.</w:t>
      </w:r>
    </w:p>
    <w:p w:rsidR="006C264B" w:rsidRPr="008E126C" w:rsidRDefault="002F6262" w:rsidP="00BA25BA">
      <w:pPr>
        <w:spacing w:after="120"/>
        <w:ind w:firstLine="709"/>
        <w:jc w:val="both"/>
      </w:pPr>
      <w:r w:rsidRPr="008E126C">
        <w:t>Úřad bude nadále sledovat a prověřovat vývoj nákladů na terminaci podle nově uplatněné metody dlouhodobých přírůstkových nákladů efektivního operátora a</w:t>
      </w:r>
      <w:r w:rsidR="005B3B60" w:rsidRPr="008E126C">
        <w:t> </w:t>
      </w:r>
      <w:r w:rsidRPr="008E126C">
        <w:t>v případě potřeby vydá správní orgán nové rozhodnutí o ceně.</w:t>
      </w:r>
      <w:r w:rsidR="006C264B" w:rsidRPr="008E126C">
        <w:t xml:space="preserve"> </w:t>
      </w:r>
    </w:p>
    <w:p w:rsidR="007E2E3D" w:rsidRPr="008E126C" w:rsidRDefault="001C0183" w:rsidP="002430E0">
      <w:pPr>
        <w:spacing w:before="240" w:after="120"/>
        <w:ind w:firstLine="709"/>
        <w:jc w:val="both"/>
      </w:pPr>
      <w:r w:rsidRPr="008E126C">
        <w:t>K části II</w:t>
      </w:r>
      <w:r w:rsidR="00E1419D" w:rsidRPr="008E126C">
        <w:t>.</w:t>
      </w:r>
      <w:r w:rsidRPr="008E126C">
        <w:t xml:space="preserve"> výroku</w:t>
      </w:r>
    </w:p>
    <w:p w:rsidR="00EA2D2F" w:rsidRPr="008E126C" w:rsidRDefault="002F6262" w:rsidP="000442F6">
      <w:pPr>
        <w:spacing w:after="120"/>
        <w:ind w:firstLine="709"/>
        <w:jc w:val="both"/>
        <w:outlineLvl w:val="0"/>
        <w:rPr>
          <w:rFonts w:cs="Arial"/>
        </w:rPr>
      </w:pPr>
      <w:r w:rsidRPr="008E126C">
        <w:t>Povinnost uplatňovat ceny v souladu s části I.</w:t>
      </w:r>
      <w:r w:rsidR="00FF2E48" w:rsidRPr="008E126C">
        <w:t xml:space="preserve"> </w:t>
      </w:r>
      <w:r w:rsidRPr="008E126C">
        <w:t>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7711AE" w:rsidRPr="008E126C" w:rsidRDefault="00592962" w:rsidP="00E40D23">
      <w:pPr>
        <w:spacing w:before="240" w:after="240"/>
        <w:jc w:val="center"/>
        <w:outlineLvl w:val="0"/>
        <w:rPr>
          <w:b/>
        </w:rPr>
      </w:pPr>
      <w:r w:rsidRPr="008E126C">
        <w:lastRenderedPageBreak/>
        <w:t>***</w:t>
      </w:r>
    </w:p>
    <w:p w:rsidR="006E0E06" w:rsidRPr="0000676F" w:rsidRDefault="006E0E06" w:rsidP="006E0E06">
      <w:pPr>
        <w:spacing w:after="120"/>
        <w:ind w:firstLine="709"/>
        <w:jc w:val="both"/>
      </w:pPr>
      <w:r w:rsidRPr="0000676F">
        <w:t>Dne 16. ledna 2014 bylo s účastníkem řízení zahájeno správní řízení ve věci uložení povinnosti související s regulací cen podniku s významnou tržní silou. Účastník řízení byl správním orgánem v zaslaném oznámení o zahájení správn</w:t>
      </w:r>
      <w:r w:rsidR="00402DFD">
        <w:t>ího řízení vyzván k vyjádření a </w:t>
      </w:r>
      <w:r w:rsidRPr="0000676F">
        <w:t xml:space="preserve">navržení důkazů a byla mu poskytnuta lhůta 7 dnů ode dne doručení oznámení. </w:t>
      </w:r>
    </w:p>
    <w:p w:rsidR="006E0E06" w:rsidRPr="009B71EA" w:rsidRDefault="006E0E06" w:rsidP="006E0E06">
      <w:pPr>
        <w:spacing w:after="120"/>
        <w:ind w:firstLine="709"/>
        <w:jc w:val="both"/>
        <w:rPr>
          <w:highlight w:val="red"/>
        </w:rPr>
      </w:pPr>
      <w:r w:rsidRPr="006D7B01">
        <w:t>Účastník řízení požádal</w:t>
      </w:r>
      <w:r w:rsidR="00402DFD" w:rsidRPr="006D7B01">
        <w:t xml:space="preserve"> dopisem ze </w:t>
      </w:r>
      <w:r w:rsidR="006D7B01" w:rsidRPr="006D7B01">
        <w:t>17</w:t>
      </w:r>
      <w:r w:rsidR="00402DFD" w:rsidRPr="006D7B01">
        <w:t>. ledna 2014</w:t>
      </w:r>
      <w:r w:rsidRPr="006D7B01">
        <w:t xml:space="preserve"> o prodloužení lhůty</w:t>
      </w:r>
      <w:r w:rsidR="006D7B01" w:rsidRPr="006D7B01">
        <w:t xml:space="preserve"> k vyjádření</w:t>
      </w:r>
      <w:r w:rsidRPr="006D7B01">
        <w:t xml:space="preserve"> </w:t>
      </w:r>
      <w:r w:rsidR="00402DFD" w:rsidRPr="006D7B01">
        <w:t xml:space="preserve">a správní orgán usnesením ze dne </w:t>
      </w:r>
      <w:r w:rsidR="006D7B01" w:rsidRPr="006D7B01">
        <w:t>22</w:t>
      </w:r>
      <w:r w:rsidR="00402DFD" w:rsidRPr="006D7B01">
        <w:t xml:space="preserve">. ledna 2014 </w:t>
      </w:r>
      <w:r w:rsidR="006D7B01" w:rsidRPr="006D7B01">
        <w:t>lhůtu o 7 dní prodlouži</w:t>
      </w:r>
      <w:r w:rsidR="006D7B01">
        <w:t>l</w:t>
      </w:r>
      <w:r w:rsidRPr="00DA7FE3">
        <w:t xml:space="preserve">. </w:t>
      </w:r>
      <w:r w:rsidRPr="00665F63">
        <w:t xml:space="preserve">V rámci </w:t>
      </w:r>
      <w:r w:rsidRPr="009B71EA">
        <w:t>prodloužené</w:t>
      </w:r>
      <w:r w:rsidR="00402DFD" w:rsidRPr="009B71EA">
        <w:t xml:space="preserve"> lhůty k </w:t>
      </w:r>
      <w:r w:rsidRPr="009B71EA">
        <w:t>vyjádření se k zahájení správního řízení nahlédl účastník řízení do spisu dne 27. ledna 2014. Po seznámení se spisem účastník řízení zaslal k zahájenému správnímu řízení připomínky dne 30. ledna 2014.</w:t>
      </w:r>
    </w:p>
    <w:p w:rsidR="00316583" w:rsidRPr="009B71EA" w:rsidRDefault="00402DFD" w:rsidP="006E0E06">
      <w:pPr>
        <w:spacing w:after="120"/>
        <w:ind w:firstLine="709"/>
        <w:jc w:val="both"/>
      </w:pPr>
      <w:r w:rsidRPr="009B71EA">
        <w:t>Ve svém vyjádření účastník řízení nezpochybnil použití modelu „</w:t>
      </w:r>
      <w:proofErr w:type="spellStart"/>
      <w:r w:rsidRPr="009B71EA">
        <w:t>pure</w:t>
      </w:r>
      <w:proofErr w:type="spellEnd"/>
      <w:r w:rsidRPr="009B71EA">
        <w:t xml:space="preserve">“ LRIC z pohledu metodiky a teoretického přístupu, ale měl zásadní připomínky týkající se použitých vstupních dat a přeneseně k výsledkům nákladového modelu. </w:t>
      </w:r>
      <w:r w:rsidR="00A23260" w:rsidRPr="009B71EA">
        <w:t>Nákladový model určený pro výpočet regulované ceny používá vstupní údaje společnosti Telefónica Czech Republic, a.s. (dále jen „Telefónica“). Tato společnost je však dle účastníka řízení mnohonásobně větší než účastník řízení, účastník řízení tak poukazuje na koncept ú</w:t>
      </w:r>
      <w:r w:rsidR="000F2F35" w:rsidRPr="009B71EA">
        <w:t>spor z rozsahu, který v telekomunikačních společnostech</w:t>
      </w:r>
      <w:r w:rsidR="00A23260" w:rsidRPr="009B71EA">
        <w:t xml:space="preserve"> funguje. Použití vstupních dat největšího národního operátora</w:t>
      </w:r>
      <w:r w:rsidR="000F2F35" w:rsidRPr="009B71EA">
        <w:t>, bez přihlédnutí k nákladové struktuře menších poskytovatelů služby pevného volání,</w:t>
      </w:r>
      <w:r w:rsidR="00A23260" w:rsidRPr="009B71EA">
        <w:t xml:space="preserve"> považuje účastník řízení za zkreslující.</w:t>
      </w:r>
      <w:r w:rsidR="00316583" w:rsidRPr="009B71EA">
        <w:t xml:space="preserve"> Účastník řízení tak považuje za vhodné zohlednit rozdílné náklady účastníka řízení a stanovit regulované ceny v různých hodnotách. Účastník řízení poukazuje na řadu zemí v Evropské unii, kde v minulosti koncept odlišných sazeb byl uplatňován.</w:t>
      </w:r>
    </w:p>
    <w:p w:rsidR="00316583" w:rsidRPr="009B71EA" w:rsidRDefault="000F2F35" w:rsidP="006E0E06">
      <w:pPr>
        <w:spacing w:after="120"/>
        <w:ind w:firstLine="709"/>
        <w:jc w:val="both"/>
        <w:rPr>
          <w:highlight w:val="yellow"/>
        </w:rPr>
      </w:pPr>
      <w:r w:rsidRPr="009B71EA">
        <w:t>Při tvorbě modelu se správní orgán řídil Doporučením, které stanoví, že ceny za ukončení volání mají být založené na nákladech, jež vznikly teoretickému efektivnímu operátorovi. Předpokládá se, že takový operátor by měl mít v souladu s geografickým vymezením relevantního trhu vybudovanou síť v dostatečném územním rozsahu, aby byl schopen uspokojit poptávku po svých službách. Vzhledem k tomu, že společnost Telefónica Czech Republic, a.s. má nejhustší síť a představuje celoplošného poskytovatele služeb, odvíjel se koncept teoretického efektivního operátora od struktury její sítě. K požadavku na uplatnění odlišných sazeb podle velikosti operátora je třeba opět odkázat na Doporučení, které předpokládá, že ceny za propojení budou symetrické.</w:t>
      </w:r>
      <w:r w:rsidR="008405C5" w:rsidRPr="009B71EA">
        <w:t xml:space="preserve"> Otázka zohlednění úspor z rozsahu je do určité míry rozebrána i ve </w:t>
      </w:r>
      <w:hyperlink r:id="rId11" w:history="1">
        <w:r w:rsidR="008405C5" w:rsidRPr="009B71EA">
          <w:rPr>
            <w:rStyle w:val="Hypertextovodkaz"/>
            <w:color w:val="auto"/>
          </w:rPr>
          <w:t>Vysvětlující zprávě</w:t>
        </w:r>
      </w:hyperlink>
      <w:r w:rsidR="008405C5" w:rsidRPr="009B71EA">
        <w:rPr>
          <w:rStyle w:val="Znakapoznpodarou"/>
        </w:rPr>
        <w:footnoteReference w:id="2"/>
      </w:r>
      <w:r w:rsidR="008405C5" w:rsidRPr="009B71EA">
        <w:t xml:space="preserve"> k vydanému Doporučení, která v této věci uvádí, že zohlednění úspor z rozsahu vytváří riziko vstupu (na relevantní trh) neefektivních operátorů a tím i riziko vynakládání neefektivních investic. Tento přístup </w:t>
      </w:r>
      <w:r w:rsidR="000D6FC3" w:rsidRPr="009B71EA">
        <w:t>by nemotivoval malé operátory k inovační aktivitě</w:t>
      </w:r>
      <w:r w:rsidR="008405C5" w:rsidRPr="009B71EA">
        <w:t xml:space="preserve"> a</w:t>
      </w:r>
      <w:r w:rsidR="000D6FC3" w:rsidRPr="009B71EA">
        <w:t xml:space="preserve"> k rozvoji</w:t>
      </w:r>
      <w:r w:rsidR="008405C5" w:rsidRPr="009B71EA">
        <w:t xml:space="preserve"> své sítě a</w:t>
      </w:r>
      <w:r w:rsidR="000D6FC3" w:rsidRPr="009B71EA">
        <w:t xml:space="preserve"> jejího</w:t>
      </w:r>
      <w:r w:rsidR="008405C5" w:rsidRPr="009B71EA">
        <w:t xml:space="preserve"> pokrytí. Evropská komise v tomto dokumentu rovněž vyjádřila pochyby o důležitosti úspor z rozsahu na trhu fixních služeb, na kterém mohou malí operátoři vstupovat nejprve na hustě osídlené lokality, a tím od počátku dosahovat vysokých úspor z rozsahu. Také </w:t>
      </w:r>
      <w:r w:rsidR="000D6FC3" w:rsidRPr="009B71EA">
        <w:t>mohou na maloobchodním trhu působit s využitím velkoobchodních služeb (bývalého) dominantního operátora (</w:t>
      </w:r>
      <w:proofErr w:type="spellStart"/>
      <w:r w:rsidR="000D6FC3" w:rsidRPr="009B71EA">
        <w:t>incumbenta</w:t>
      </w:r>
      <w:proofErr w:type="spellEnd"/>
      <w:r w:rsidR="000D6FC3" w:rsidRPr="009B71EA">
        <w:t>), aniž by tak museli vynakládat fixní náklady do výstavby sítí.</w:t>
      </w:r>
    </w:p>
    <w:p w:rsidR="00D66844" w:rsidRPr="009B71EA" w:rsidRDefault="00067A75" w:rsidP="006E0E06">
      <w:pPr>
        <w:spacing w:after="120"/>
        <w:ind w:firstLine="709"/>
        <w:jc w:val="both"/>
      </w:pPr>
      <w:r w:rsidRPr="009B71EA">
        <w:t>Účastník řízení dále poukazoval</w:t>
      </w:r>
      <w:r w:rsidR="00316583" w:rsidRPr="009B71EA">
        <w:t xml:space="preserve"> na přístup Evropské komise</w:t>
      </w:r>
      <w:r w:rsidR="000D6FC3" w:rsidRPr="009B71EA">
        <w:t xml:space="preserve"> k regulaci telekomunikačního trhu, ze kterého je dle účastníka řízení zřejmé, že Evropská komise má zájem o vznik a rozvoj vysoce konkurenčního prostředí na trhu telefonních služeb. To je, mimo jiné, zohledněno v neustálém tlaku na pokles terminačních poplatků tak, aby nově vznikající subjekty na trhu mohly lépe a efektivněji konkurovat národním operátorům (</w:t>
      </w:r>
      <w:proofErr w:type="spellStart"/>
      <w:r w:rsidR="000D6FC3" w:rsidRPr="009B71EA">
        <w:t>incumbentům</w:t>
      </w:r>
      <w:proofErr w:type="spellEnd"/>
      <w:r w:rsidR="000D6FC3" w:rsidRPr="009B71EA">
        <w:t>).</w:t>
      </w:r>
      <w:r w:rsidR="00316583" w:rsidRPr="009B71EA">
        <w:t xml:space="preserve"> </w:t>
      </w:r>
      <w:r w:rsidR="00D66844" w:rsidRPr="009B71EA">
        <w:t xml:space="preserve">Rozhodnutí snížit cenu za terminaci v pevném místě bez vazby na podobně výrazný pokles či harmonizaci s mobilní terminační </w:t>
      </w:r>
      <w:r w:rsidR="00105200" w:rsidRPr="009B71EA">
        <w:t>cenou</w:t>
      </w:r>
      <w:r w:rsidR="00D66844" w:rsidRPr="009B71EA">
        <w:t>, ztěžuje konkurenční pozici účastníka řízení a omezuje objem investic do rozšiřování sítí, jehož prostřednictvím se vytváří konkurenční prostředí na trhu.</w:t>
      </w:r>
    </w:p>
    <w:p w:rsidR="00D66844" w:rsidRPr="009B71EA" w:rsidRDefault="00105200" w:rsidP="006E0E06">
      <w:pPr>
        <w:spacing w:after="120"/>
        <w:ind w:firstLine="709"/>
        <w:jc w:val="both"/>
        <w:rPr>
          <w:highlight w:val="yellow"/>
        </w:rPr>
      </w:pPr>
      <w:r w:rsidRPr="009B71EA">
        <w:lastRenderedPageBreak/>
        <w:t>Správní orgán účastníku řízení, který se odvolává na přístup Evropské komise a její snahu o dosažení vysoce konkurenčního prostředí, v této věci připomíná, že při cenové regulaci na relevantním trhu č. 3 postupuje právě v souladu s Doporučením Evropské komise, a to jak co se týče metody pro stanovení regulované ceny („</w:t>
      </w:r>
      <w:proofErr w:type="spellStart"/>
      <w:r w:rsidRPr="009B71EA">
        <w:t>pure</w:t>
      </w:r>
      <w:proofErr w:type="spellEnd"/>
      <w:r w:rsidRPr="009B71EA">
        <w:t>“ LRIC), tak co se týče její aplikace na všechny podniky s významnou tržní silou, tedy i účastníka řízení. Rovněž v této věci správní orgán připomíná, že ke stanovení regulované ceny za terminaci v mobilních sítích prostřednictvím metody „</w:t>
      </w:r>
      <w:proofErr w:type="spellStart"/>
      <w:r w:rsidRPr="009B71EA">
        <w:t>pure</w:t>
      </w:r>
      <w:proofErr w:type="spellEnd"/>
      <w:r w:rsidRPr="009B71EA">
        <w:t>“ LRIC v souladu s Doporučením již došlo</w:t>
      </w:r>
      <w:r w:rsidR="0044688A" w:rsidRPr="009B71EA">
        <w:rPr>
          <w:rStyle w:val="Znakapoznpodarou"/>
        </w:rPr>
        <w:footnoteReference w:id="3"/>
      </w:r>
      <w:r w:rsidR="007B18F9" w:rsidRPr="009B71EA">
        <w:t xml:space="preserve"> k 1. červenci 2013</w:t>
      </w:r>
      <w:r w:rsidRPr="009B71EA">
        <w:t>, a tato cena v současné době činí 0,27 Kč/min.</w:t>
      </w:r>
      <w:r w:rsidR="00356503" w:rsidRPr="009B71EA">
        <w:t xml:space="preserve"> Výše ceny za terminaci v mobilní síti je přibližně stejná ve všech zemích EU, ve kterých již k jejímu stanovení metodou „</w:t>
      </w:r>
      <w:proofErr w:type="spellStart"/>
      <w:r w:rsidR="00356503" w:rsidRPr="009B71EA">
        <w:t>pure</w:t>
      </w:r>
      <w:proofErr w:type="spellEnd"/>
      <w:r w:rsidR="00356503" w:rsidRPr="009B71EA">
        <w:t>“ LRIC došlo</w:t>
      </w:r>
      <w:r w:rsidR="00356503" w:rsidRPr="009B71EA">
        <w:rPr>
          <w:rStyle w:val="Znakapoznpodarou"/>
        </w:rPr>
        <w:footnoteReference w:id="4"/>
      </w:r>
      <w:r w:rsidR="00356503" w:rsidRPr="009B71EA">
        <w:t>.</w:t>
      </w:r>
      <w:r w:rsidRPr="009B71EA">
        <w:t xml:space="preserve"> </w:t>
      </w:r>
      <w:r w:rsidR="007B18F9" w:rsidRPr="009B71EA">
        <w:t>Velikost poklesu maximální regulované ceny za terminaci</w:t>
      </w:r>
      <w:r w:rsidR="0044688A" w:rsidRPr="009B71EA">
        <w:t xml:space="preserve"> správní orgán uvedl v analýze relevantního trhu č. 7</w:t>
      </w:r>
      <w:r w:rsidR="00904C3B" w:rsidRPr="009B71EA">
        <w:rPr>
          <w:rStyle w:val="Znakapoznpodarou"/>
        </w:rPr>
        <w:footnoteReference w:id="5"/>
      </w:r>
      <w:r w:rsidR="0044688A" w:rsidRPr="009B71EA">
        <w:t>.</w:t>
      </w:r>
    </w:p>
    <w:p w:rsidR="007F1D03" w:rsidRPr="009B71EA" w:rsidRDefault="00067A75" w:rsidP="006E0E06">
      <w:pPr>
        <w:spacing w:after="120"/>
        <w:ind w:firstLine="709"/>
        <w:jc w:val="both"/>
      </w:pPr>
      <w:r w:rsidRPr="009B71EA">
        <w:t>Účastník řízení poukazoval</w:t>
      </w:r>
      <w:r w:rsidR="00987319" w:rsidRPr="009B71EA">
        <w:t xml:space="preserve"> na §</w:t>
      </w:r>
      <w:r w:rsidR="000753F6" w:rsidRPr="009B71EA">
        <w:t xml:space="preserve"> 56 a § 57 Zákona, podle kterých</w:t>
      </w:r>
      <w:r w:rsidR="00987319" w:rsidRPr="009B71EA">
        <w:t xml:space="preserve"> je správní orgán</w:t>
      </w:r>
      <w:r w:rsidR="000753F6" w:rsidRPr="009B71EA">
        <w:t xml:space="preserve"> při uplatnění cenové regulace povinen br</w:t>
      </w:r>
      <w:r w:rsidR="00987319" w:rsidRPr="009B71EA">
        <w:t>át</w:t>
      </w:r>
      <w:r w:rsidR="000753F6" w:rsidRPr="009B71EA">
        <w:t xml:space="preserve"> do úvahy</w:t>
      </w:r>
      <w:r w:rsidR="00987319" w:rsidRPr="009B71EA">
        <w:t xml:space="preserve"> na ochranu zájmů subjektů tak, aby ceny plynoucí z rozhodnutí správního orgánu byly přinejmenším nákladové a současně </w:t>
      </w:r>
      <w:r w:rsidR="000753F6" w:rsidRPr="009B71EA">
        <w:t>zohledňovat</w:t>
      </w:r>
      <w:r w:rsidR="00920333" w:rsidRPr="009B71EA">
        <w:t xml:space="preserve"> investice provedené dotčeným subjektem a umožnit mu návratnost investic v přiměřeném časovém období. Účastník řízení poukazuje na skutečnost, že k poskytování </w:t>
      </w:r>
      <w:r w:rsidR="00E52E00" w:rsidRPr="009B71EA">
        <w:t xml:space="preserve">telefonní služby ze strany účastníka řízení došlo v relativně nedávné době (rok 2006) a bylo spojeno s významnými </w:t>
      </w:r>
      <w:r w:rsidR="007F1D03" w:rsidRPr="009B71EA">
        <w:t>inv</w:t>
      </w:r>
      <w:r w:rsidR="000753F6" w:rsidRPr="009B71EA">
        <w:t>esticemi</w:t>
      </w:r>
      <w:r w:rsidR="007F1D03" w:rsidRPr="009B71EA">
        <w:t xml:space="preserve">. Navrhované snížení </w:t>
      </w:r>
      <w:r w:rsidR="000753F6" w:rsidRPr="009B71EA">
        <w:t>cen</w:t>
      </w:r>
      <w:r w:rsidR="007F1D03" w:rsidRPr="009B71EA">
        <w:t xml:space="preserve"> tak výrazně zhorší</w:t>
      </w:r>
      <w:r w:rsidR="000753F6" w:rsidRPr="009B71EA">
        <w:t xml:space="preserve"> interní návratnost investic do</w:t>
      </w:r>
      <w:r w:rsidR="007F1D03" w:rsidRPr="009B71EA">
        <w:t> telefonní služby, což může vést k přehodnocení investičních záměrů účastníka řízení v oblasti inovací telefonních služeb</w:t>
      </w:r>
      <w:r w:rsidR="000753F6" w:rsidRPr="009B71EA">
        <w:t xml:space="preserve"> s negativn</w:t>
      </w:r>
      <w:r w:rsidR="006D7B01" w:rsidRPr="009B71EA">
        <w:t>ím dopadem na tržní prostředí a </w:t>
      </w:r>
      <w:r w:rsidR="000753F6" w:rsidRPr="009B71EA">
        <w:t>v konečném důsledku s neblahým dopadem na spotřebitele</w:t>
      </w:r>
      <w:r w:rsidR="007F1D03" w:rsidRPr="009B71EA">
        <w:t xml:space="preserve">. </w:t>
      </w:r>
    </w:p>
    <w:p w:rsidR="007F1D03" w:rsidRPr="009B71EA" w:rsidRDefault="006A42B1" w:rsidP="006E0E06">
      <w:pPr>
        <w:spacing w:after="120"/>
        <w:ind w:firstLine="709"/>
        <w:jc w:val="both"/>
        <w:rPr>
          <w:highlight w:val="yellow"/>
        </w:rPr>
      </w:pPr>
      <w:r w:rsidRPr="009B71EA">
        <w:t>K souladu se zákonnými požadavky správní orgán uvádí, že rozhodnutí o ceně bude vydáno na základě výsledků analýzy relevantního trhu č. 3, provedené v souladu s § 51 Zákona. Zároveň byly naplněny podmínky pro uložení povinností souvisejících s regulací cen podle § 56 a § 57 Zákona. Konkrétně analýza relevantního trhu č. 3 prokázala, že tento trh není efektivně konkurenční zejména tím, že by na něm mohlo docházet k účtování nepřiměřeně vysokých cen v neprospěch koncových uživatelů</w:t>
      </w:r>
      <w:r w:rsidRPr="009B71EA">
        <w:rPr>
          <w:rStyle w:val="Znakapoznpodarou"/>
        </w:rPr>
        <w:footnoteReference w:id="6"/>
      </w:r>
      <w:r w:rsidRPr="009B71EA">
        <w:t>. Za účelem nápravy zjištěného soutěžního problému přistoupil správní orgán ke stanovení regulovaných cen, které zohledňují pouze účelně a efektivně vynaložené náklady. Tyto náklady stanovil v souladu s Doporučením metodu čistého LRIC, která simuluje náklady teoretického efektivního operátora na plně konkurenčním trhu. Tím dochází k eliminaci rizika, že operátorům budou v ceně regulované služby hrazeny i neefektivně vynaložené náklady, k jejichž zahrnutí do regulované ceny mají 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efektivně vynaložených nákladů o přiměřený zisk, pro jehož stanovení využívá správní orgán procento návratnosti vloženého kapitálu před zdaněním WACC ve výši 8,26 %. Tato hodnota je specificky pro celý sektor elektronických komunikací stanovena správním orgánem v opatření obecné povahy č. </w:t>
      </w:r>
      <w:hyperlink r:id="rId12" w:history="1">
        <w:r w:rsidRPr="009B71EA">
          <w:rPr>
            <w:rStyle w:val="Hypertextovodkaz"/>
            <w:color w:val="auto"/>
          </w:rPr>
          <w:t>OOP/4/03.2006-3</w:t>
        </w:r>
      </w:hyperlink>
      <w:r w:rsidRPr="009B71EA">
        <w:t xml:space="preserve">, kterým se stanoví metodika účelového členění nákladů a výnosů a jejich přiřazování a určuje se struktura vykazovaných informací, ve </w:t>
      </w:r>
      <w:hyperlink r:id="rId13" w:history="1">
        <w:r w:rsidRPr="009B71EA">
          <w:rPr>
            <w:rStyle w:val="Hypertextovodkaz"/>
            <w:color w:val="auto"/>
          </w:rPr>
          <w:t>znění pozdějších opatření</w:t>
        </w:r>
      </w:hyperlink>
      <w:r w:rsidRPr="009B71EA">
        <w:t>. Správní orgán tak má za to, že výpočet regulované ceny je v souladu se všemi zákonnými požadavky.</w:t>
      </w:r>
    </w:p>
    <w:p w:rsidR="00A77824" w:rsidRPr="009B71EA" w:rsidRDefault="00067A75" w:rsidP="006E0E06">
      <w:pPr>
        <w:spacing w:after="120"/>
        <w:ind w:firstLine="709"/>
        <w:jc w:val="both"/>
      </w:pPr>
      <w:r w:rsidRPr="009B71EA">
        <w:lastRenderedPageBreak/>
        <w:t>V další připomínce</w:t>
      </w:r>
      <w:r w:rsidR="001F47A1" w:rsidRPr="009B71EA">
        <w:t xml:space="preserve"> účastník řízení </w:t>
      </w:r>
      <w:r w:rsidRPr="009B71EA">
        <w:t>znovu poukazoval</w:t>
      </w:r>
      <w:r w:rsidR="001F47A1" w:rsidRPr="009B71EA">
        <w:t xml:space="preserve"> na asymetrii terminačních </w:t>
      </w:r>
      <w:r w:rsidRPr="009B71EA">
        <w:t>cen na relevantních trzích</w:t>
      </w:r>
      <w:r w:rsidR="001F47A1" w:rsidRPr="009B71EA">
        <w:t xml:space="preserve"> č. 3 a č. 7. Vý</w:t>
      </w:r>
      <w:r w:rsidRPr="009B71EA">
        <w:t>ši fixních terminačních cen</w:t>
      </w:r>
      <w:r w:rsidR="001F47A1" w:rsidRPr="009B71EA">
        <w:t xml:space="preserve"> je třeba brát v širší souvislosti s ohledem na výši</w:t>
      </w:r>
      <w:r w:rsidRPr="009B71EA">
        <w:t xml:space="preserve"> mobilních terminačních cen</w:t>
      </w:r>
      <w:r w:rsidR="001F47A1" w:rsidRPr="009B71EA">
        <w:t>.</w:t>
      </w:r>
      <w:r w:rsidR="00A77824" w:rsidRPr="009B71EA">
        <w:t xml:space="preserve"> Dle účastníka řízení je a</w:t>
      </w:r>
      <w:r w:rsidRPr="009B71EA">
        <w:t>ž s podivem, že terminační ceny</w:t>
      </w:r>
      <w:r w:rsidR="00A77824" w:rsidRPr="009B71EA">
        <w:t xml:space="preserve"> na fixním a mobilním trhu jsou tak odlišné s ohledem na stejnou metodiku „</w:t>
      </w:r>
      <w:proofErr w:type="spellStart"/>
      <w:r w:rsidR="00A77824" w:rsidRPr="009B71EA">
        <w:t>pure</w:t>
      </w:r>
      <w:proofErr w:type="spellEnd"/>
      <w:r w:rsidR="00A77824" w:rsidRPr="009B71EA">
        <w:t>“ LRIC. Účastník řízení vyjádřil obavy, že vstupy u fixního modelu tak nejsou započítány správně.</w:t>
      </w:r>
      <w:r w:rsidRPr="009B71EA">
        <w:t xml:space="preserve"> Účinností navrhovaného rozhodnutí vznikne téměř desetinásobný rozdíl mezi cenou ukončení volání do pevných a mobilních sítí. Tato skutečnost pak znevýhodní provozovatele pevných sítí a zvýhodní poskytovatele mobilních komunikačních služeb, což bude mít, dle účastníka řízení, za následek další pokles atraktivity poskytování komunikačních služeb v pevné síti a zároveň zachování bariéry při volání do mobilní sítě z pevné sítě.</w:t>
      </w:r>
    </w:p>
    <w:p w:rsidR="00A77824" w:rsidRPr="009B71EA" w:rsidRDefault="00067A75" w:rsidP="006E0E06">
      <w:pPr>
        <w:spacing w:after="120"/>
        <w:ind w:firstLine="709"/>
        <w:jc w:val="both"/>
      </w:pPr>
      <w:r w:rsidRPr="009B71EA">
        <w:t xml:space="preserve">K obdobné připomínce účastníka řízení se správní orgán vyjadřoval již výše. Na tomto místě pak </w:t>
      </w:r>
      <w:r w:rsidR="003309EA" w:rsidRPr="009B71EA">
        <w:t xml:space="preserve">tedy </w:t>
      </w:r>
      <w:r w:rsidRPr="009B71EA">
        <w:t xml:space="preserve">jen znovu připomíná, že výše regulované velkoobchodní ceny za terminaci v mobilní síti byla ve všech státech EU, ve kterých již došlo k implementaci Doporučení, nastavena v rozmezí mezi přibližně 0,20-0,30 Kč/min. (cca 1 </w:t>
      </w:r>
      <w:proofErr w:type="spellStart"/>
      <w:r w:rsidRPr="009B71EA">
        <w:t>eurocent</w:t>
      </w:r>
      <w:proofErr w:type="spellEnd"/>
      <w:r w:rsidRPr="009B71EA">
        <w:t>). Stejně tak cena za terminaci v pevné síti stanovená prostřednictvím modelu „</w:t>
      </w:r>
      <w:proofErr w:type="spellStart"/>
      <w:r w:rsidRPr="009B71EA">
        <w:t>pure</w:t>
      </w:r>
      <w:proofErr w:type="spellEnd"/>
      <w:r w:rsidRPr="009B71EA">
        <w:t>“ LRIC se</w:t>
      </w:r>
      <w:r w:rsidR="003309EA" w:rsidRPr="009B71EA">
        <w:t xml:space="preserve"> ve státech EU, dle informací správního orgánu,</w:t>
      </w:r>
      <w:r w:rsidRPr="009B71EA">
        <w:t xml:space="preserve"> pohybuje nejčastěji kolem 0,1 </w:t>
      </w:r>
      <w:proofErr w:type="spellStart"/>
      <w:r w:rsidRPr="009B71EA">
        <w:t>eurocentu</w:t>
      </w:r>
      <w:proofErr w:type="spellEnd"/>
      <w:r w:rsidRPr="009B71EA">
        <w:t>, tedy na hodnotách desetkrát menších, než cena za terminaci v mobilních sítích</w:t>
      </w:r>
      <w:r w:rsidR="003309EA" w:rsidRPr="009B71EA">
        <w:t>. Zdůrazňuje-li účastník řízení narůstající relativní rozdíl v cenách mobilních a terminačních cen (až na desetinásobek), připomíná správní orgán skutečnost, že např. ještě na konci roku 2008 činil rozdíl mezi terminační cenou v mobilní síti a terminační cenou ve fixní síti (v silném provozu na tranzitní ústředně) 2,63 Kč (2,99 Kč oproti 0,36 Kč), zatímco implementací ceny navržené v</w:t>
      </w:r>
      <w:r w:rsidR="001D7B86" w:rsidRPr="009B71EA">
        <w:t> tomto</w:t>
      </w:r>
      <w:r w:rsidR="003309EA" w:rsidRPr="009B71EA">
        <w:t> rozhodnutí o ceně bude tento rozdíl činit</w:t>
      </w:r>
      <w:r w:rsidR="001D7B86" w:rsidRPr="009B71EA">
        <w:t xml:space="preserve"> jen</w:t>
      </w:r>
      <w:r w:rsidR="003309EA" w:rsidRPr="009B71EA">
        <w:t xml:space="preserve"> 0,24 Kč</w:t>
      </w:r>
      <w:r w:rsidR="001D7B86" w:rsidRPr="009B71EA">
        <w:t>. Tím</w:t>
      </w:r>
      <w:r w:rsidR="003309EA" w:rsidRPr="009B71EA">
        <w:t xml:space="preserve"> se oproti stavu v roce 2008 sníží rozdíl mezi oběma terminačními cenami o 2,39 Kč</w:t>
      </w:r>
      <w:r w:rsidR="001D7B86" w:rsidRPr="009B71EA">
        <w:t xml:space="preserve"> (o 90,8 %)</w:t>
      </w:r>
      <w:r w:rsidR="003309EA" w:rsidRPr="009B71EA">
        <w:t>. Správní orgán nemá za to, že by tímto vývojem docházelo k</w:t>
      </w:r>
      <w:r w:rsidR="001D7B86" w:rsidRPr="009B71EA">
        <w:t> </w:t>
      </w:r>
      <w:r w:rsidR="003309EA" w:rsidRPr="009B71EA">
        <w:t>znevýhodňování</w:t>
      </w:r>
      <w:r w:rsidR="001D7B86" w:rsidRPr="009B71EA">
        <w:t xml:space="preserve"> operátorů pevných sítí.</w:t>
      </w:r>
    </w:p>
    <w:p w:rsidR="001D7B86" w:rsidRPr="009B71EA" w:rsidRDefault="001D7B86" w:rsidP="001D7B86">
      <w:pPr>
        <w:spacing w:after="120"/>
        <w:ind w:firstLine="709"/>
        <w:jc w:val="both"/>
      </w:pPr>
      <w:r w:rsidRPr="009B71EA">
        <w:t>Účastník řízení dále vyjádřil výhrady k hodnotě WACC, kterou považuje za příliš nízkou. V modelu se má jednat o teoreticky efektivního operátora, je ale zřejmé, že správní orgán vycházel z podkladů velkých národních operátorů (</w:t>
      </w:r>
      <w:proofErr w:type="spellStart"/>
      <w:r w:rsidRPr="009B71EA">
        <w:t>incumbentů</w:t>
      </w:r>
      <w:proofErr w:type="spellEnd"/>
      <w:r w:rsidRPr="009B71EA">
        <w:t>). Tito operátoři však mají snazší přístup na kapitálové trhy než menší společnosti</w:t>
      </w:r>
      <w:r w:rsidR="00937419" w:rsidRPr="009B71EA">
        <w:t xml:space="preserve"> (tedy i než účastník řízení) a </w:t>
      </w:r>
      <w:r w:rsidRPr="009B71EA">
        <w:t>z toho důvodu je pro ně vyplývající hodnota diskontní míry WACC nižší. Vzhledem k tomu, že navrhovaná regulovaná cena má být účinná i pro menší operátory, má účastník řízení za to, že správní orgán by měl hodnotu WACC upravit, popř. vhodně odstupňovat.</w:t>
      </w:r>
    </w:p>
    <w:p w:rsidR="001D7B86" w:rsidRPr="009B71EA" w:rsidRDefault="00FF54A9" w:rsidP="001D7B86">
      <w:pPr>
        <w:spacing w:after="120"/>
        <w:ind w:firstLine="709"/>
        <w:jc w:val="both"/>
      </w:pPr>
      <w:r w:rsidRPr="009B71EA">
        <w:t xml:space="preserve">K připomínce účastníka řízení správní orgán konstatuje, že hodnotu WACC nestanovuje jednorázově pro potřeby konkrétní cenové kalkulace, ale vychází z hodnoty, která je vyhlášena v opatření obecné povahy č. OOP/4/03.2006-3, kterým se stanoví metodika účelového členění nákladů a výnosů a jejich přiřazování a určuje se struktura vykazovaných informací, ve znění pozdějších opatření. Vydaná hodnota WACC je obecně platná pro jakýkoli podnik zajišťující sítě elektronických komunikací nebo poskytující veřejně dostupnou službu elektronických komunikací v České republice, na který se vztahuje cenová regulace nebo povinnost vedení oddělené evidence nákladů a výnosů. Tento postup je v souladu se zásadou transparentnosti a předvídatelnosti. V současné době platná hodnota WACC byla vyhlášena v opatření obecné povahy č. OOP/4/12.2011-19, ze dne 8. prosince 2011, kterým bylo původní OOP/4/03.2006-3 změněno. Opatření bylo předmětem veřejné konzultace a všechny společnosti působící na trhu elektronických komunikací, včetně </w:t>
      </w:r>
      <w:r w:rsidR="00937419" w:rsidRPr="009B71EA">
        <w:t>účastníka řízení</w:t>
      </w:r>
      <w:r w:rsidRPr="009B71EA">
        <w:t>, měly možnost se k hodnotě WACC i ke způsobu stanovení jednotlivých proměnných příslušného vzorce pro stanovení ukazatele WACC vyjádřit. Metodika výpočtu WACC je popsána v odůvodnění OOP/4/12.2011-19. Pro úplnost lze zmínit, že při výpočtu se vycházelo ze vzorku 48 veřejně obchodovatelných společností podnikajících v oboru elektronických komunikací.</w:t>
      </w:r>
    </w:p>
    <w:p w:rsidR="00937419" w:rsidRPr="009B71EA" w:rsidRDefault="00406373" w:rsidP="00406373">
      <w:pPr>
        <w:spacing w:after="120"/>
        <w:ind w:firstLine="709"/>
        <w:jc w:val="both"/>
      </w:pPr>
      <w:r w:rsidRPr="009B71EA">
        <w:t>Účastník řízení v další připomínce poukazoval na kurz</w:t>
      </w:r>
      <w:r w:rsidR="00937419" w:rsidRPr="009B71EA">
        <w:t xml:space="preserve"> koruny vůči euru s ohledem na oslabení české </w:t>
      </w:r>
      <w:r w:rsidRPr="009B71EA">
        <w:t>měny</w:t>
      </w:r>
      <w:r w:rsidR="00937419" w:rsidRPr="009B71EA">
        <w:t xml:space="preserve"> v listopadu 2013. Účastník řízení má za to, že tímto oslabením dojde k negativnímu zatížení nákladového modelu, neboť základní technologie potřebné k provozování pevných telekomunikačních sítí jsou nakupovány v zahraničí v cizí měně. V nákladovém modelu se operuje s měnovým kurzem 24,5 </w:t>
      </w:r>
      <w:r w:rsidR="00E06D6B" w:rsidRPr="009B71EA">
        <w:t xml:space="preserve">Kč/EUR, současná sazba je ale </w:t>
      </w:r>
      <w:r w:rsidR="00E06D6B" w:rsidRPr="009B71EA">
        <w:lastRenderedPageBreak/>
        <w:t>o </w:t>
      </w:r>
      <w:r w:rsidR="00937419" w:rsidRPr="009B71EA">
        <w:t xml:space="preserve">12 % vyšší (27,5 Kč/EUR), což výrazně ovlivňuje vstupní data v nákladovém modelu. Účastník řízení tak požaduje zohlednění tohoto aspektu v navrhované regulované </w:t>
      </w:r>
      <w:r w:rsidRPr="009B71EA">
        <w:t>ceně</w:t>
      </w:r>
      <w:r w:rsidR="00937419" w:rsidRPr="009B71EA">
        <w:t>.</w:t>
      </w:r>
    </w:p>
    <w:p w:rsidR="00406373" w:rsidRPr="009B71EA" w:rsidRDefault="00406373" w:rsidP="00406373">
      <w:pPr>
        <w:spacing w:after="120"/>
        <w:ind w:firstLine="709"/>
        <w:jc w:val="both"/>
      </w:pPr>
      <w:r w:rsidRPr="009B71EA">
        <w:t>Správní orgán k připomínce účastníka řízení v první řadě zdůrazňuje, že cena za terminaci je čistě přírůstková, to znamená, že do této ceny byly promítnuty pouze přírůstkové náklady na prokazatelně nezbytnou dodatečnou kapacitu sítě a její zařízení. Vliv kurzu české koruny je z tohoto pohledu tedy minimální. Kurz koruny použitý v modelu odpovídá období, ve kterém byla pořizována jednotlivá aktiva v běžných cenách (odpovídá roku „nula“).</w:t>
      </w:r>
    </w:p>
    <w:p w:rsidR="00406373" w:rsidRPr="009B71EA" w:rsidRDefault="00406373" w:rsidP="00406373">
      <w:pPr>
        <w:spacing w:after="120"/>
        <w:ind w:firstLine="709"/>
        <w:jc w:val="both"/>
      </w:pPr>
      <w:r w:rsidRPr="009B71EA">
        <w:t>Kurz koruny stejně jako ostatní náklady bude aktualizován při další verifikaci výsledné ceny za terminaci</w:t>
      </w:r>
      <w:r w:rsidR="00E06D6B" w:rsidRPr="009B71EA">
        <w:t>.</w:t>
      </w:r>
    </w:p>
    <w:p w:rsidR="00E06D6B" w:rsidRPr="009B71EA" w:rsidRDefault="00E06D6B" w:rsidP="00406373">
      <w:pPr>
        <w:spacing w:after="120"/>
        <w:ind w:firstLine="709"/>
        <w:jc w:val="both"/>
      </w:pPr>
      <w:r w:rsidRPr="009B71EA">
        <w:t>Účastník řízení v další připomínce konstatoval, že správní orgán dle svého vyjádření použil NGN model, na druhou stranu však vychází z detailního nákladového modelu dle existujících historických přenosových technologií společnosti Telefónica Czech Republic, a.s. Správní orgán tak dle účastníka řízení fakticky nezohlednil specifika NGN v rámci předloženého modelu, což opět ukazuje na nesprávné vstupy v modelu, který byl použit pro výpočet terminační ceny.</w:t>
      </w:r>
    </w:p>
    <w:p w:rsidR="00E06D6B" w:rsidRPr="009B71EA" w:rsidRDefault="00E06D6B" w:rsidP="00406373">
      <w:pPr>
        <w:spacing w:after="120"/>
        <w:ind w:firstLine="709"/>
        <w:jc w:val="both"/>
      </w:pPr>
      <w:r w:rsidRPr="009B71EA">
        <w:t>Dle správního orgánu nelze zpochybnit, že použitý model je modelem NGN, neboť technologie, které obsahuje, se řadí k technologiím NGN. Pokud byly použity údaje z nákladového modelu společnosti Telefónica Czech Republic, a.s., bylo vždy zkoumáno, zda jsou relevantní k pořízení nebo zajištění provozuschopnosti sítě NGN. Správní orgán</w:t>
      </w:r>
      <w:r w:rsidR="00C36B72" w:rsidRPr="009B71EA">
        <w:t xml:space="preserve"> také</w:t>
      </w:r>
      <w:r w:rsidRPr="009B71EA">
        <w:t xml:space="preserve"> zveřejnil na svých webových stránkách jak </w:t>
      </w:r>
      <w:hyperlink r:id="rId14" w:history="1">
        <w:r w:rsidRPr="009B71EA">
          <w:rPr>
            <w:rStyle w:val="Hypertextovodkaz"/>
            <w:color w:val="auto"/>
          </w:rPr>
          <w:t>nákladový model „</w:t>
        </w:r>
        <w:proofErr w:type="spellStart"/>
        <w:r w:rsidRPr="009B71EA">
          <w:rPr>
            <w:rStyle w:val="Hypertextovodkaz"/>
            <w:color w:val="auto"/>
          </w:rPr>
          <w:t>pure</w:t>
        </w:r>
        <w:proofErr w:type="spellEnd"/>
        <w:r w:rsidRPr="009B71EA">
          <w:rPr>
            <w:rStyle w:val="Hypertextovodkaz"/>
            <w:color w:val="auto"/>
          </w:rPr>
          <w:t>“ LRIC</w:t>
        </w:r>
      </w:hyperlink>
      <w:r w:rsidRPr="009B71EA">
        <w:t>, tak i</w:t>
      </w:r>
      <w:r w:rsidR="00C36B72" w:rsidRPr="009B71EA">
        <w:t> </w:t>
      </w:r>
      <w:hyperlink r:id="rId15" w:history="1">
        <w:r w:rsidRPr="009B71EA">
          <w:rPr>
            <w:rStyle w:val="Hypertextovodkaz"/>
            <w:color w:val="auto"/>
          </w:rPr>
          <w:t>dokument</w:t>
        </w:r>
      </w:hyperlink>
      <w:r w:rsidRPr="009B71EA">
        <w:t xml:space="preserve"> popisující teoretická východiska a metodologické principy modelu a </w:t>
      </w:r>
      <w:hyperlink r:id="rId16" w:history="1">
        <w:r w:rsidRPr="009B71EA">
          <w:rPr>
            <w:rStyle w:val="Hypertextovodkaz"/>
            <w:color w:val="auto"/>
          </w:rPr>
          <w:t>příručku pro uživatele funkcí modelu BU-LRIC pro pevnou síť</w:t>
        </w:r>
      </w:hyperlink>
      <w:r w:rsidRPr="009B71EA">
        <w:t>. Účastník řízení</w:t>
      </w:r>
      <w:r w:rsidR="00C36B72" w:rsidRPr="009B71EA">
        <w:t xml:space="preserve"> nepoukázal na konkrétní části modelu, ve kterých správní orgán dle účastníka řízení pochybil.</w:t>
      </w:r>
    </w:p>
    <w:p w:rsidR="00E06D6B" w:rsidRPr="009B71EA" w:rsidRDefault="00C36B72" w:rsidP="00406373">
      <w:pPr>
        <w:spacing w:after="120"/>
        <w:ind w:firstLine="709"/>
        <w:jc w:val="both"/>
      </w:pPr>
      <w:r w:rsidRPr="009B71EA">
        <w:t>Správní orgán také připomíná, že předmětný nákladový model „</w:t>
      </w:r>
      <w:proofErr w:type="spellStart"/>
      <w:r w:rsidRPr="009B71EA">
        <w:t>pure</w:t>
      </w:r>
      <w:proofErr w:type="spellEnd"/>
      <w:r w:rsidRPr="009B71EA">
        <w:t>“ BU-LRIC byl rámci přezkumné fáze zahájené Evropskou komisí na konci roku 2012 detailně</w:t>
      </w:r>
      <w:r w:rsidR="00E06D6B" w:rsidRPr="009B71EA">
        <w:t xml:space="preserve"> prověřován</w:t>
      </w:r>
      <w:r w:rsidRPr="009B71EA">
        <w:t xml:space="preserve"> expertní skupinou Sdružení evropských regulačních orgánů v sektoru elektronických komunikací BEREC, která na závěr svého zkoumání v lednu 2013</w:t>
      </w:r>
      <w:r w:rsidR="00E06D6B" w:rsidRPr="009B71EA">
        <w:t xml:space="preserve"> neshledal</w:t>
      </w:r>
      <w:r w:rsidRPr="009B71EA">
        <w:t>a</w:t>
      </w:r>
      <w:r w:rsidRPr="009B71EA">
        <w:rPr>
          <w:rStyle w:val="Znakapoznpodarou"/>
        </w:rPr>
        <w:footnoteReference w:id="7"/>
      </w:r>
      <w:r w:rsidR="00E06D6B" w:rsidRPr="009B71EA">
        <w:t>, že by model neodpovídal principům nastaveným v Doporu</w:t>
      </w:r>
      <w:r w:rsidRPr="009B71EA">
        <w:t>čení a naopak konstatovala, že model je plně postaven na síti NGN</w:t>
      </w:r>
      <w:r w:rsidR="00E06D6B" w:rsidRPr="009B71EA">
        <w:t>.</w:t>
      </w:r>
    </w:p>
    <w:p w:rsidR="00E06AE5" w:rsidRPr="009B71EA" w:rsidRDefault="00A77824" w:rsidP="006E0E06">
      <w:pPr>
        <w:spacing w:after="120"/>
        <w:ind w:firstLine="709"/>
        <w:jc w:val="both"/>
      </w:pPr>
      <w:r w:rsidRPr="009B71EA">
        <w:t xml:space="preserve">Účastník řízení </w:t>
      </w:r>
      <w:r w:rsidR="001848C3" w:rsidRPr="009B71EA">
        <w:t>v další připomínce uvedl, že správní orgán navrhuje skokový pokles cen za terminaci ve fixní síti a účastník řízení by uvítal rozložení poklesu do více postupných kroků (</w:t>
      </w:r>
      <w:proofErr w:type="spellStart"/>
      <w:r w:rsidR="001848C3" w:rsidRPr="009B71EA">
        <w:t>glide</w:t>
      </w:r>
      <w:proofErr w:type="spellEnd"/>
      <w:r w:rsidR="001848C3" w:rsidRPr="009B71EA">
        <w:t xml:space="preserve"> </w:t>
      </w:r>
      <w:proofErr w:type="spellStart"/>
      <w:r w:rsidR="001848C3" w:rsidRPr="009B71EA">
        <w:t>path</w:t>
      </w:r>
      <w:proofErr w:type="spellEnd"/>
      <w:r w:rsidR="001848C3" w:rsidRPr="009B71EA">
        <w:t>)</w:t>
      </w:r>
      <w:r w:rsidR="00E06AE5" w:rsidRPr="009B71EA">
        <w:t xml:space="preserve">, aby nedošlo ke zvýhodnění účastníků trhu provozující zejména mobilní sítě (kde byla metoda </w:t>
      </w:r>
      <w:proofErr w:type="spellStart"/>
      <w:r w:rsidR="00E06AE5" w:rsidRPr="009B71EA">
        <w:t>glide</w:t>
      </w:r>
      <w:proofErr w:type="spellEnd"/>
      <w:r w:rsidR="00E06AE5" w:rsidRPr="009B71EA">
        <w:t xml:space="preserve"> </w:t>
      </w:r>
      <w:proofErr w:type="spellStart"/>
      <w:r w:rsidR="00E06AE5" w:rsidRPr="009B71EA">
        <w:t>path</w:t>
      </w:r>
      <w:proofErr w:type="spellEnd"/>
      <w:r w:rsidR="00E06AE5" w:rsidRPr="009B71EA">
        <w:t xml:space="preserve"> v minulosti uplatněna) na úkor fixních operátorů.</w:t>
      </w:r>
      <w:r w:rsidR="007F6FDA" w:rsidRPr="009B71EA">
        <w:t xml:space="preserve"> </w:t>
      </w:r>
      <w:r w:rsidR="001767D0" w:rsidRPr="009B71EA">
        <w:t>Účastník řízení považuje za diskriminační, že v minulosti došlo k aplikování rozložení poklesu ceny</w:t>
      </w:r>
      <w:r w:rsidR="001848C3" w:rsidRPr="009B71EA">
        <w:t xml:space="preserve"> do více časových období (a to</w:t>
      </w:r>
      <w:r w:rsidR="001767D0" w:rsidRPr="009B71EA">
        <w:t xml:space="preserve"> na relevantním trhu č. 7) a tento postup správní orgán nehodlá aplikovat i v případě fixní cenové regulace. </w:t>
      </w:r>
      <w:r w:rsidR="001848C3" w:rsidRPr="009B71EA">
        <w:t>Správní orgán zmiňuje, že tento postup zvolil s ohledem na to, že k cenové regulaci podle modelu LRIC dochází později, než se předpokládalo podle Doporučení, tzn. nejpozději k 31. prosinci 2012, ale z pohled</w:t>
      </w:r>
      <w:r w:rsidR="005A7F94" w:rsidRPr="009B71EA">
        <w:t>u účastníka řízení se nejedná o </w:t>
      </w:r>
      <w:r w:rsidR="001848C3" w:rsidRPr="009B71EA">
        <w:t>relevantní argument. Správní orgán tím totiž přenáší odpovědnost za své vlastní prodlení na regulované subjekty.</w:t>
      </w:r>
      <w:r w:rsidR="00BF48DC" w:rsidRPr="009B71EA">
        <w:t xml:space="preserve"> To, že by účastník řízení měl být nově cenově regulován na relevantním trhu č. 3, se potvrdilo až vydáním analýzy relevantního trhu</w:t>
      </w:r>
      <w:r w:rsidR="006D7B01" w:rsidRPr="009B71EA">
        <w:t xml:space="preserve"> č. 3 v průběhu prosince 2013 a </w:t>
      </w:r>
      <w:r w:rsidR="00BF48DC" w:rsidRPr="009B71EA">
        <w:t>účastník řízení</w:t>
      </w:r>
      <w:r w:rsidR="001767D0" w:rsidRPr="009B71EA">
        <w:t xml:space="preserve"> </w:t>
      </w:r>
      <w:r w:rsidR="00BF48DC" w:rsidRPr="009B71EA">
        <w:t>je tedy nucen narychlo přehodnotit finanční a investiční plány v této oblasti.</w:t>
      </w:r>
    </w:p>
    <w:p w:rsidR="00E06AE5" w:rsidRPr="009B71EA" w:rsidRDefault="00BF48DC" w:rsidP="006E0E06">
      <w:pPr>
        <w:spacing w:after="120"/>
        <w:ind w:firstLine="709"/>
        <w:jc w:val="both"/>
      </w:pPr>
      <w:r w:rsidRPr="009B71EA">
        <w:t>Správní orgán nejprve připomíná, že účastník řízení byl stanoven</w:t>
      </w:r>
      <w:r w:rsidRPr="009B71EA">
        <w:rPr>
          <w:rStyle w:val="Znakapoznpodarou"/>
        </w:rPr>
        <w:footnoteReference w:id="8"/>
      </w:r>
      <w:r w:rsidRPr="009B71EA">
        <w:t xml:space="preserve"> podnikem s významnou tržní silou již podle analýzy relevantního trhu č. 3</w:t>
      </w:r>
      <w:r w:rsidR="007D2E70" w:rsidRPr="009B71EA">
        <w:rPr>
          <w:rStyle w:val="Znakapoznpodarou"/>
        </w:rPr>
        <w:footnoteReference w:id="9"/>
      </w:r>
      <w:r w:rsidRPr="009B71EA">
        <w:t xml:space="preserve"> z roku 2009</w:t>
      </w:r>
      <w:r w:rsidR="007D2E70" w:rsidRPr="009B71EA">
        <w:t xml:space="preserve"> a povinnosti související s regulací cen mu nebyly uloženy zejména s ohledem na tehdejší předpoklad správního orgánu, že jednotlivé podniky s významnou tržní silou, s ohledem na jejich postavení na celkové terminaci, budou motivováni přistupovat na symetrickou výši cen stanovených správním orgánem pro jediný podnik s významnou tržní silou, kterému cenová regulace byla </w:t>
      </w:r>
      <w:r w:rsidR="007D2E70" w:rsidRPr="009B71EA">
        <w:lastRenderedPageBreak/>
        <w:t>uložena (společnosti Telefónica Czech Republic, a.s.). Správní orgán rovněž uvedl, že při případném řešení sporů bude vycházet z principu symetrické regulace cen v souladu s Doporučením. Účastníku řízení tak již z toho muselo být patrné, že záměrem správního orgánu je udržet na relevantním trhu symetrickou aplikaci terminačních cen, a to ve výši stanovené metodou „</w:t>
      </w:r>
      <w:proofErr w:type="spellStart"/>
      <w:r w:rsidR="007D2E70" w:rsidRPr="009B71EA">
        <w:t>pure</w:t>
      </w:r>
      <w:proofErr w:type="spellEnd"/>
      <w:r w:rsidR="007D2E70" w:rsidRPr="009B71EA">
        <w:t>“ LRIC v souladu s Doporučením.</w:t>
      </w:r>
      <w:r w:rsidR="00B812A0" w:rsidRPr="009B71EA">
        <w:t xml:space="preserve"> Z tohoto důvodu nemá správní orgán za to, že by účastník řízení nebyl již dříve jasně srozuměn s výhledovým stavem</w:t>
      </w:r>
      <w:r w:rsidR="00B4038F" w:rsidRPr="009B71EA">
        <w:t xml:space="preserve"> pro aplikaci</w:t>
      </w:r>
      <w:r w:rsidR="00B812A0" w:rsidRPr="009B71EA">
        <w:t xml:space="preserve"> terminačních cen na relevantním trhu č. 3 a současná regulace pro něj byla nečekaným překvapením.</w:t>
      </w:r>
    </w:p>
    <w:p w:rsidR="00B812A0" w:rsidRPr="009B71EA" w:rsidRDefault="00B812A0" w:rsidP="006E0E06">
      <w:pPr>
        <w:spacing w:after="120"/>
        <w:ind w:firstLine="709"/>
        <w:jc w:val="both"/>
      </w:pPr>
      <w:r w:rsidRPr="009B71EA">
        <w:t>Správní orgán také nesouhlasí se závěrem účastníka řízení, že nerozložením poklesu terminační ceny do více kroků dochází k diskriminaci operátorů fixních sítí oproti operátorům mobilních sítí v situaci, kdy na relevantním trhu č. 7 uložil podnikům s významnou tržní silou povinnost aplikovat cenu stanovenou metodu „</w:t>
      </w:r>
      <w:proofErr w:type="spellStart"/>
      <w:r w:rsidRPr="009B71EA">
        <w:t>pure</w:t>
      </w:r>
      <w:proofErr w:type="spellEnd"/>
      <w:r w:rsidRPr="009B71EA">
        <w:t>“ LRIC (0,27 Kč/min.) již od 1. července 2013. Za této situace je tak záměrem správního orgánu stanovit cenu metodou „</w:t>
      </w:r>
      <w:proofErr w:type="spellStart"/>
      <w:r w:rsidRPr="009B71EA">
        <w:t>pure</w:t>
      </w:r>
      <w:proofErr w:type="spellEnd"/>
      <w:r w:rsidRPr="009B71EA">
        <w:t>“ LRIC</w:t>
      </w:r>
      <w:r w:rsidR="00B4038F" w:rsidRPr="009B71EA">
        <w:t xml:space="preserve"> na trhu fixní terminace co nejdříve. Proto správní orgán návrhu účastníka řízení nevyhověl.</w:t>
      </w:r>
    </w:p>
    <w:p w:rsidR="00C20D55" w:rsidRPr="009B71EA" w:rsidRDefault="00C20D55" w:rsidP="006E0E06">
      <w:pPr>
        <w:spacing w:after="120"/>
        <w:ind w:firstLine="709"/>
        <w:jc w:val="both"/>
      </w:pPr>
      <w:r w:rsidRPr="009B71EA">
        <w:t>Závěrem správní orgán nesouhlasí s interpretací účastníka řízení, že přenáší na regulované subjekty odpovědnost za vlastní prodlení při stanovení ceny metodou „</w:t>
      </w:r>
      <w:proofErr w:type="spellStart"/>
      <w:r w:rsidRPr="009B71EA">
        <w:t>pure</w:t>
      </w:r>
      <w:proofErr w:type="spellEnd"/>
      <w:r w:rsidRPr="009B71EA">
        <w:t>“ LRIC. Správní orgán v návrhu rozhodnutí toliko popsal důvody nerozložení poklesu regulované ceny do více kroků, mezi které patří i skutečnost, že termínem pro aplikaci metody „</w:t>
      </w:r>
      <w:proofErr w:type="spellStart"/>
      <w:r w:rsidRPr="009B71EA">
        <w:t>pure</w:t>
      </w:r>
      <w:proofErr w:type="spellEnd"/>
      <w:r w:rsidRPr="009B71EA">
        <w:t>“ LRIC podle Doporučení byl konec roku 2012. Správní orgán tedy nemá za to, že je nutné nadále zmírňovat dopady regulace a rozkládáním poklesu do několika kroků odkládat implementaci cen stanovených metodou „</w:t>
      </w:r>
      <w:proofErr w:type="spellStart"/>
      <w:r w:rsidRPr="009B71EA">
        <w:t>pure</w:t>
      </w:r>
      <w:proofErr w:type="spellEnd"/>
      <w:r w:rsidRPr="009B71EA">
        <w:t>“ LRIC.</w:t>
      </w:r>
    </w:p>
    <w:p w:rsidR="00B4038F" w:rsidRPr="009B71EA" w:rsidRDefault="00B4038F" w:rsidP="006E0E06">
      <w:pPr>
        <w:spacing w:after="120"/>
        <w:ind w:firstLine="709"/>
        <w:jc w:val="both"/>
      </w:pPr>
      <w:r w:rsidRPr="009B71EA">
        <w:t>Účastník řízení dále vyjádřil pochyby ohledně úplnosti počtu účastníků řízení na relevantním trhu č. 3. Pro příklad uvádí společnost PODA, a.s., která podle účastníka řízení splňuje všechny náležitosti pro stanovení podniku s významnou tržní silou. Z důvodu obav o diskriminační chování žádá účastník řízení správní orgán o prověření úplnosti uvedeného seznamu a jeho případné doplnění o další subjekty.</w:t>
      </w:r>
    </w:p>
    <w:p w:rsidR="00B4038F" w:rsidRPr="009B71EA" w:rsidRDefault="00B4038F" w:rsidP="006E0E06">
      <w:pPr>
        <w:spacing w:after="120"/>
        <w:ind w:firstLine="709"/>
        <w:jc w:val="both"/>
      </w:pPr>
      <w:r w:rsidRPr="009B71EA">
        <w:t>Správní orgán</w:t>
      </w:r>
      <w:r w:rsidR="006D7B01" w:rsidRPr="009B71EA">
        <w:t xml:space="preserve"> konstatuje, že společnost PODA, a.s. nebyla na relevantní trh zařazena, neboť nenaplňovala správním orgánem definovaná kritéria pro zařazení na relevantní trh – viz str. 23 v analýze relevantního trhu č. 3</w:t>
      </w:r>
      <w:r w:rsidRPr="009B71EA">
        <w:t>. Tato připomínka však nesměřuje k úpravě návrhu tohoto rozhodnutí o ceně, a proto ji dále nerozebírá.</w:t>
      </w:r>
    </w:p>
    <w:p w:rsidR="00B4038F" w:rsidRPr="009B71EA" w:rsidRDefault="00507195" w:rsidP="006E0E06">
      <w:pPr>
        <w:spacing w:after="120"/>
        <w:ind w:firstLine="709"/>
        <w:jc w:val="both"/>
      </w:pPr>
      <w:r w:rsidRPr="009B71EA">
        <w:t>V další připomínce účastník řízení konstatoval, že správní orgán vyzval účastníka řízení, aby se ve lhůtě 7 dnů vyjádřil k návrhu rozhodnutí o ceně a na žádost účastníka řízení tuto lhůtu prodloužil o dalších 7 dnů. Účastník řízení však i tuto dodatečnou lhůtu považuje za velmi krátkou pro zpracování detailní finanční analýzy a vlastního nákladového modelu. Účastník řízení uvedl, že informace, že bude cenově regulován, byla zveřejněna 13. prosince 2013 a seznámit se s použitým modelem LRIC, včetně konkrétních vstupních dat, bylo možné až v rámci správního řízení. Navíc mu potřebné údaje byly poskytnuty pouze k nahlédnutí, neboť se jednalo o data obsahující obchodní tajemství. Z pohledu účastníka řízení se však jedná o údaje nezbytné pro relevantní vyjádření k použitému modelu, pro které by účastník řízení považoval za dostatečnou lhůtu minimálně tří měsíců.</w:t>
      </w:r>
    </w:p>
    <w:p w:rsidR="00D951E3" w:rsidRPr="009B71EA" w:rsidRDefault="00507195" w:rsidP="006E0E06">
      <w:pPr>
        <w:spacing w:after="120"/>
        <w:ind w:firstLine="709"/>
        <w:jc w:val="both"/>
      </w:pPr>
      <w:r w:rsidRPr="009B71EA">
        <w:t xml:space="preserve">Správní orgán k připomínce účastníka řízení připomíná již výše uvedené vyjádření, dle kterého </w:t>
      </w:r>
      <w:r w:rsidR="00286875" w:rsidRPr="009B71EA">
        <w:t>účastník řízení věděl již od října roku 2009 (tj. od zveřejnění analýzy relevantního trhu č. A/3/10.2009-13), že záměrem správního orgánu je zachovat na relevantním trhu symetrické ceny pro všechny podniky s významnou tržní silou, a to ceny stanovené v souladu s Doporučením metodou „</w:t>
      </w:r>
      <w:proofErr w:type="spellStart"/>
      <w:r w:rsidR="00286875" w:rsidRPr="009B71EA">
        <w:t>pure</w:t>
      </w:r>
      <w:proofErr w:type="spellEnd"/>
      <w:r w:rsidR="00286875" w:rsidRPr="009B71EA">
        <w:t>“ LRIC a již z tohoto důvodu se mohl aktivně účastnit tvorby nákladového modelu, resp. se s ním později aktivně seznamovat</w:t>
      </w:r>
      <w:r w:rsidR="00286875" w:rsidRPr="009B71EA">
        <w:rPr>
          <w:rStyle w:val="Znakapoznpodarou"/>
        </w:rPr>
        <w:footnoteReference w:id="10"/>
      </w:r>
      <w:r w:rsidR="00286875" w:rsidRPr="009B71EA">
        <w:t>.</w:t>
      </w:r>
      <w:r w:rsidR="00D951E3" w:rsidRPr="009B71EA">
        <w:t xml:space="preserve"> Aktuální analýza relevantního trhu č. 3, kterou správní orgán zveřejnil 13. prosince 2013, byla k připomínkám na diskusním místě správního orgánu </w:t>
      </w:r>
      <w:hyperlink r:id="rId17" w:history="1">
        <w:r w:rsidR="00D951E3" w:rsidRPr="009B71EA">
          <w:rPr>
            <w:rStyle w:val="Hypertextovodkaz"/>
            <w:color w:val="auto"/>
          </w:rPr>
          <w:t>zveřejněna</w:t>
        </w:r>
      </w:hyperlink>
      <w:r w:rsidR="00D951E3" w:rsidRPr="009B71EA">
        <w:t xml:space="preserve"> již 9. října 2013 a již z tohoto návrhu analýzy </w:t>
      </w:r>
      <w:r w:rsidR="00D951E3" w:rsidRPr="009B71EA">
        <w:lastRenderedPageBreak/>
        <w:t>se účastník řízení mohl dozvědět o chystaném návrhu na uložení povinností souvisejících s regulací cen.</w:t>
      </w:r>
    </w:p>
    <w:p w:rsidR="00507195" w:rsidRPr="009B71EA" w:rsidRDefault="00817B47" w:rsidP="006E0E06">
      <w:pPr>
        <w:spacing w:after="120"/>
        <w:ind w:firstLine="709"/>
        <w:jc w:val="both"/>
      </w:pPr>
      <w:r w:rsidRPr="009B71EA">
        <w:t xml:space="preserve"> Správní orgán také nepovažuje za účelné, aby si účastník řízení v rámci svého vyjádření k zahájenému správnímu řízení tvořil vlastní nákladový model postavený na specificky jím vynaložených nákladech. Správní orgán již výše popsal způsob stanovení regulované ceny, který vychází z nákladů teoretického efektivního operátora simulující výši ceny na efektivně konkurenčním trhu. Z těchto důvodů nepovažuje navrhovanou lhůtu tří měsíců k vyjádření za přiměřenou. Správní orgán také připomíná, že účastník řízení může navrhovat důkazy a předkládat svá vyjádření v průběhu celého správního řízení, tedy např. i</w:t>
      </w:r>
      <w:r w:rsidR="00D951E3" w:rsidRPr="009B71EA">
        <w:t> </w:t>
      </w:r>
      <w:r w:rsidRPr="009B71EA">
        <w:t>v rámci veřejné konzultace.</w:t>
      </w:r>
    </w:p>
    <w:p w:rsidR="00817B47" w:rsidRPr="009B71EA" w:rsidRDefault="00D951E3" w:rsidP="006E0E06">
      <w:pPr>
        <w:spacing w:after="120"/>
        <w:ind w:firstLine="709"/>
        <w:jc w:val="both"/>
      </w:pPr>
      <w:r w:rsidRPr="009B71EA">
        <w:t>Na závěr svého vyjádření účastník řízení uvedl, že považuje z</w:t>
      </w:r>
      <w:r w:rsidR="00817B47" w:rsidRPr="009B71EA">
        <w:t xml:space="preserve">a nepřiměřenou </w:t>
      </w:r>
      <w:r w:rsidRPr="009B71EA">
        <w:t>i </w:t>
      </w:r>
      <w:r w:rsidR="00817B47" w:rsidRPr="009B71EA">
        <w:t xml:space="preserve">dvouměsíční lhůtu pro změnu terminační </w:t>
      </w:r>
      <w:r w:rsidRPr="009B71EA">
        <w:t>ceny</w:t>
      </w:r>
      <w:r w:rsidR="00817B47" w:rsidRPr="009B71EA">
        <w:t xml:space="preserve"> ve smluvních podmínkách, a to i s ohledem na nedávné zkušenosti účastníka řízení s uzavíráním smluv o propojení, kdy adekvátní lhůta pro stanovení nových podmínek by měla být čtyři až pět měsíců. S ohledem na množství subjektů na trhu je to žádoucí krok vzhledem k množství bilaterálních smluv, které bude třeba uzavřít a správní orgán by lhůtu k implementaci měl prodloužit.</w:t>
      </w:r>
      <w:r w:rsidRPr="009B71EA">
        <w:t xml:space="preserve"> Účastník řízení také uvedl, že je pro něj velmi důležité stabilní podnikatelské prostředí, ve kterém je možné dlouhodobě plánovat podnikatelské aktivity, a to pokud možno bez neočekávaných zásahů regulátora či alespoň bez větších regulačních výkyvů.</w:t>
      </w:r>
    </w:p>
    <w:p w:rsidR="00402DFD" w:rsidRPr="009B71EA" w:rsidRDefault="00D951E3" w:rsidP="00C20D55">
      <w:pPr>
        <w:spacing w:after="120"/>
        <w:ind w:firstLine="709"/>
        <w:jc w:val="both"/>
      </w:pPr>
      <w:r w:rsidRPr="009B71EA">
        <w:t xml:space="preserve">Správní orgán požadavku účastníka řízení na </w:t>
      </w:r>
      <w:r w:rsidR="00C20D55" w:rsidRPr="009B71EA">
        <w:t>odložení aplikace regulované ceny</w:t>
      </w:r>
      <w:r w:rsidRPr="009B71EA">
        <w:t xml:space="preserve"> nevyhověl. Správní orgán je s ohledem na § 6 odst. 4 Zákona při své činnosti povinen zajistit předvídatelnost svého jednání a tomuto požadavku dle správního orgánu nejlépe odpovídá takový přístup k implementaci ukládané povinnosti, který správní orgán konzistentně aplikoval již v mnoha předchozích rozhodnutích o ceně</w:t>
      </w:r>
      <w:r w:rsidRPr="009B71EA">
        <w:rPr>
          <w:vertAlign w:val="superscript"/>
        </w:rPr>
        <w:footnoteReference w:id="11"/>
      </w:r>
      <w:r w:rsidRPr="009B71EA">
        <w:t>, a který vyplývá jak z požadavků samotných regulovaných subjektů, tak ze lhůty v délce dvou měsíců podle § 80 odst. 4 Zákona pro jednání podnikatelů o návrhu smlouvy o přístupu nebo smlouvy o propojení.</w:t>
      </w:r>
    </w:p>
    <w:p w:rsidR="005E5098" w:rsidRPr="009B71EA" w:rsidRDefault="005E5098" w:rsidP="005E5098">
      <w:pPr>
        <w:spacing w:after="120"/>
        <w:ind w:firstLine="709"/>
        <w:jc w:val="both"/>
      </w:pPr>
      <w:r w:rsidRPr="009B71EA">
        <w:t>Nad rámec připomínek obdržených od účastníka řízení správní orgán uvádí, že v rámci správních řízení zahájených s ostatními podniky s významnou tržní silou na relevantním trhu č. 3 obdržel pozměňovací návrh na úpravu odstavce 3 části I. výroku rozhodnutí, kterému se rozhodl vyhovět a předmětnou část výroku</w:t>
      </w:r>
      <w:r w:rsidRPr="009B71EA">
        <w:rPr>
          <w:rStyle w:val="Znakapoznpodarou"/>
        </w:rPr>
        <w:footnoteReference w:id="12"/>
      </w:r>
      <w:r w:rsidRPr="009B71EA">
        <w:t xml:space="preserve"> následně i tohoto rozhodnutí pozměnil takto: „</w:t>
      </w:r>
      <w:r w:rsidRPr="009B71EA">
        <w:rPr>
          <w:i/>
        </w:rPr>
        <w:t>Regulace formou maximálních cen podle odstavce 1 se nevztahuje na volání z telefonních čísel s kódy zemí mimo Evropský hospodářský prostor</w:t>
      </w:r>
      <w:r w:rsidRPr="009B71EA">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Pr="009B71EA">
        <w:t>originovaného</w:t>
      </w:r>
      <w:proofErr w:type="spellEnd"/>
      <w:r w:rsidRPr="009B71EA">
        <w:t xml:space="preserve"> ze států mimo EHP v obdobné logice, jaká byla využita i při regulaci roamingových služeb ze strany orgánů Evropské unie</w:t>
      </w:r>
      <w:r w:rsidRPr="009B71EA">
        <w:rPr>
          <w:rStyle w:val="Znakapoznpodarou"/>
        </w:rPr>
        <w:footnoteReference w:id="13"/>
      </w:r>
      <w:r w:rsidRPr="009B71EA">
        <w:t>.</w:t>
      </w:r>
    </w:p>
    <w:p w:rsidR="00751DF0" w:rsidRPr="008E126C" w:rsidRDefault="00751DF0" w:rsidP="00C20D55">
      <w:pPr>
        <w:keepNext/>
        <w:spacing w:before="240" w:after="240"/>
        <w:jc w:val="center"/>
        <w:outlineLvl w:val="0"/>
      </w:pPr>
      <w:r w:rsidRPr="008E126C">
        <w:t>***</w:t>
      </w:r>
    </w:p>
    <w:p w:rsidR="00332037" w:rsidRPr="008E126C" w:rsidRDefault="00A003FF" w:rsidP="00C172FB">
      <w:pPr>
        <w:spacing w:after="120"/>
        <w:ind w:firstLine="709"/>
        <w:jc w:val="both"/>
        <w:outlineLvl w:val="0"/>
        <w:rPr>
          <w:i/>
        </w:rPr>
      </w:pPr>
      <w:r w:rsidRPr="008E126C">
        <w:rPr>
          <w:i/>
        </w:rPr>
        <w:t xml:space="preserve">Na základě </w:t>
      </w:r>
      <w:r w:rsidR="00276C6C" w:rsidRPr="008E126C">
        <w:rPr>
          <w:i/>
        </w:rPr>
        <w:t xml:space="preserve">§ 130 Zákona </w:t>
      </w:r>
      <w:r w:rsidRPr="008E126C">
        <w:rPr>
          <w:i/>
        </w:rPr>
        <w:t>a podle Pravidel Českého telekomunikačního úřadu pro vedení konzultací s dotčenými subjekty na diskusním místě</w:t>
      </w:r>
      <w:r w:rsidR="00592962" w:rsidRPr="008E126C">
        <w:rPr>
          <w:i/>
        </w:rPr>
        <w:t xml:space="preserve"> správní orgán</w:t>
      </w:r>
      <w:r w:rsidRPr="008E126C">
        <w:rPr>
          <w:i/>
        </w:rPr>
        <w:t xml:space="preserve"> zveřejnil </w:t>
      </w:r>
      <w:r w:rsidR="00276C6C" w:rsidRPr="008E126C">
        <w:rPr>
          <w:i/>
        </w:rPr>
        <w:t>n</w:t>
      </w:r>
      <w:r w:rsidR="00592962" w:rsidRPr="008E126C">
        <w:rPr>
          <w:i/>
        </w:rPr>
        <w:t>á</w:t>
      </w:r>
      <w:r w:rsidR="00276C6C" w:rsidRPr="008E126C">
        <w:rPr>
          <w:i/>
        </w:rPr>
        <w:t xml:space="preserve">vrh rozhodnutí </w:t>
      </w:r>
      <w:r w:rsidRPr="008E126C">
        <w:rPr>
          <w:i/>
        </w:rPr>
        <w:t>včetně výzvy k uplatnění připomínek</w:t>
      </w:r>
      <w:r w:rsidR="0040767E" w:rsidRPr="008E126C">
        <w:rPr>
          <w:i/>
        </w:rPr>
        <w:t xml:space="preserve"> </w:t>
      </w:r>
      <w:r w:rsidRPr="008E126C">
        <w:rPr>
          <w:i/>
        </w:rPr>
        <w:t xml:space="preserve">na diskusním místě dne </w:t>
      </w:r>
      <w:r w:rsidR="00EB74BE" w:rsidRPr="008E126C">
        <w:rPr>
          <w:i/>
        </w:rPr>
        <w:t>XX. XXXX</w:t>
      </w:r>
      <w:r w:rsidR="00332037" w:rsidRPr="008E126C">
        <w:rPr>
          <w:i/>
        </w:rPr>
        <w:t xml:space="preserve"> </w:t>
      </w:r>
      <w:r w:rsidRPr="008E126C">
        <w:rPr>
          <w:i/>
        </w:rPr>
        <w:t>201</w:t>
      </w:r>
      <w:r w:rsidR="009E43FD">
        <w:rPr>
          <w:i/>
        </w:rPr>
        <w:t>4</w:t>
      </w:r>
      <w:r w:rsidR="00332037" w:rsidRPr="008E126C">
        <w:rPr>
          <w:i/>
        </w:rPr>
        <w:t xml:space="preserve">. Připomínky k návrhu rozhodnutí bylo možno uplatnit do </w:t>
      </w:r>
      <w:r w:rsidR="00EB74BE" w:rsidRPr="008E126C">
        <w:rPr>
          <w:i/>
        </w:rPr>
        <w:t>XX. XXXX</w:t>
      </w:r>
      <w:r w:rsidR="00E063E5" w:rsidRPr="008E126C">
        <w:rPr>
          <w:i/>
        </w:rPr>
        <w:t xml:space="preserve"> </w:t>
      </w:r>
      <w:r w:rsidR="00332037" w:rsidRPr="008E126C">
        <w:rPr>
          <w:i/>
        </w:rPr>
        <w:t>201</w:t>
      </w:r>
      <w:r w:rsidR="009E43FD">
        <w:rPr>
          <w:i/>
        </w:rPr>
        <w:t>4</w:t>
      </w:r>
      <w:r w:rsidR="00332037" w:rsidRPr="008E126C">
        <w:rPr>
          <w:i/>
        </w:rPr>
        <w:t xml:space="preserve">. V této lhůtě </w:t>
      </w:r>
      <w:r w:rsidR="00045DCE" w:rsidRPr="008E126C">
        <w:rPr>
          <w:i/>
        </w:rPr>
        <w:t xml:space="preserve">uplatnily </w:t>
      </w:r>
      <w:r w:rsidR="00332037" w:rsidRPr="008E126C">
        <w:rPr>
          <w:i/>
        </w:rPr>
        <w:t xml:space="preserve">připomínky </w:t>
      </w:r>
      <w:r w:rsidR="00EB74BE" w:rsidRPr="008E126C">
        <w:rPr>
          <w:i/>
        </w:rPr>
        <w:t xml:space="preserve">XX </w:t>
      </w:r>
      <w:r w:rsidR="00332037" w:rsidRPr="008E126C">
        <w:rPr>
          <w:i/>
        </w:rPr>
        <w:t>dotčen</w:t>
      </w:r>
      <w:r w:rsidR="003E3469" w:rsidRPr="008E126C">
        <w:rPr>
          <w:i/>
        </w:rPr>
        <w:t>é</w:t>
      </w:r>
      <w:r w:rsidR="00332037" w:rsidRPr="008E126C">
        <w:rPr>
          <w:i/>
        </w:rPr>
        <w:t xml:space="preserve"> subjekt</w:t>
      </w:r>
      <w:r w:rsidR="003E3469" w:rsidRPr="008E126C">
        <w:rPr>
          <w:i/>
        </w:rPr>
        <w:t>y</w:t>
      </w:r>
      <w:r w:rsidR="00EB74BE" w:rsidRPr="008E126C">
        <w:rPr>
          <w:i/>
        </w:rPr>
        <w:t>.</w:t>
      </w:r>
    </w:p>
    <w:p w:rsidR="00341838" w:rsidRPr="008E126C" w:rsidRDefault="00341838" w:rsidP="00EB74BE">
      <w:pPr>
        <w:spacing w:before="240" w:after="240"/>
        <w:jc w:val="center"/>
        <w:outlineLvl w:val="0"/>
      </w:pPr>
      <w:r w:rsidRPr="008E126C">
        <w:t>***</w:t>
      </w:r>
    </w:p>
    <w:p w:rsidR="00332037" w:rsidRPr="008E126C" w:rsidRDefault="00332037" w:rsidP="00C172FB">
      <w:pPr>
        <w:spacing w:before="240"/>
        <w:ind w:firstLine="709"/>
        <w:jc w:val="both"/>
        <w:outlineLvl w:val="0"/>
        <w:rPr>
          <w:i/>
        </w:rPr>
      </w:pPr>
      <w:r w:rsidRPr="008E126C">
        <w:rPr>
          <w:i/>
        </w:rPr>
        <w:lastRenderedPageBreak/>
        <w:t>Podle § 130 odst. 3 Zákona konzultoval správní orgán navrhované rozhodnutí rovněž s Úřadem pro ochranu hospodářské soutěže. Úřad pro ochranu hospodářské soutěže ne</w:t>
      </w:r>
      <w:r w:rsidR="00EB74BE" w:rsidRPr="008E126C">
        <w:rPr>
          <w:i/>
        </w:rPr>
        <w:t>/</w:t>
      </w:r>
      <w:r w:rsidRPr="008E126C">
        <w:rPr>
          <w:i/>
        </w:rPr>
        <w:t xml:space="preserve">uplatnil ve svém vyjádření ze dne </w:t>
      </w:r>
      <w:r w:rsidR="00EB74BE" w:rsidRPr="008E126C">
        <w:rPr>
          <w:i/>
        </w:rPr>
        <w:t>XX. XXXX</w:t>
      </w:r>
      <w:r w:rsidRPr="008E126C">
        <w:rPr>
          <w:i/>
        </w:rPr>
        <w:t xml:space="preserve"> 201</w:t>
      </w:r>
      <w:r w:rsidR="009E43FD">
        <w:rPr>
          <w:i/>
        </w:rPr>
        <w:t>4</w:t>
      </w:r>
      <w:r w:rsidRPr="008E126C">
        <w:rPr>
          <w:i/>
        </w:rPr>
        <w:t xml:space="preserve"> žádné</w:t>
      </w:r>
      <w:r w:rsidR="00EB74BE" w:rsidRPr="008E126C">
        <w:rPr>
          <w:i/>
        </w:rPr>
        <w:t>/následující</w:t>
      </w:r>
      <w:r w:rsidRPr="008E126C">
        <w:rPr>
          <w:i/>
        </w:rPr>
        <w:t xml:space="preserve"> připomínky.</w:t>
      </w:r>
    </w:p>
    <w:p w:rsidR="000366E8" w:rsidRPr="008E126C" w:rsidRDefault="00592962" w:rsidP="00E40D23">
      <w:pPr>
        <w:spacing w:before="240" w:after="240"/>
        <w:jc w:val="center"/>
        <w:outlineLvl w:val="0"/>
        <w:rPr>
          <w:b/>
        </w:rPr>
      </w:pPr>
      <w:r w:rsidRPr="008E126C">
        <w:rPr>
          <w:i/>
        </w:rPr>
        <w:t>***</w:t>
      </w:r>
    </w:p>
    <w:p w:rsidR="00D07AA7" w:rsidRPr="008E126C" w:rsidRDefault="00592962" w:rsidP="00C172FB">
      <w:pPr>
        <w:ind w:firstLine="709"/>
        <w:jc w:val="both"/>
        <w:outlineLvl w:val="0"/>
        <w:rPr>
          <w:b/>
        </w:rPr>
      </w:pPr>
      <w:r w:rsidRPr="00917FED">
        <w:rPr>
          <w:rFonts w:cs="Arial"/>
          <w:i/>
        </w:rPr>
        <w:t xml:space="preserve">Správní orgán podle § 131 Zákona </w:t>
      </w:r>
      <w:r w:rsidR="00917FED" w:rsidRPr="00713F11">
        <w:rPr>
          <w:rFonts w:cs="Arial"/>
          <w:i/>
        </w:rPr>
        <w:t>zaslal</w:t>
      </w:r>
      <w:r w:rsidRPr="00917FED">
        <w:rPr>
          <w:rFonts w:cs="Arial"/>
          <w:i/>
        </w:rPr>
        <w:t xml:space="preserve"> návrh rozhodnutí</w:t>
      </w:r>
      <w:r w:rsidR="00917FED" w:rsidRPr="00713F11">
        <w:rPr>
          <w:rFonts w:cs="Arial"/>
          <w:i/>
        </w:rPr>
        <w:t xml:space="preserve"> společně s analýzou relevantního trhu ke konzultaci</w:t>
      </w:r>
      <w:r w:rsidRPr="00917FED">
        <w:rPr>
          <w:rFonts w:cs="Arial"/>
          <w:i/>
        </w:rPr>
        <w:t xml:space="preserve"> s Evropskou komisí. Evropská komise</w:t>
      </w:r>
      <w:r w:rsidR="00917FED" w:rsidRPr="00713F11">
        <w:rPr>
          <w:rFonts w:cs="Arial"/>
          <w:i/>
        </w:rPr>
        <w:t xml:space="preserve"> se v</w:t>
      </w:r>
      <w:r w:rsidRPr="00917FED">
        <w:rPr>
          <w:rFonts w:cs="Arial"/>
          <w:i/>
        </w:rPr>
        <w:t xml:space="preserve"> dopise</w:t>
      </w:r>
      <w:r w:rsidRPr="00370EE5">
        <w:rPr>
          <w:rFonts w:cs="Arial"/>
          <w:i/>
        </w:rPr>
        <w:t xml:space="preserve"> ze dne </w:t>
      </w:r>
      <w:r w:rsidR="00F76DE8" w:rsidRPr="00370EE5">
        <w:rPr>
          <w:rFonts w:cs="Arial"/>
          <w:i/>
        </w:rPr>
        <w:t>9</w:t>
      </w:r>
      <w:r w:rsidRPr="00370EE5">
        <w:rPr>
          <w:rFonts w:cs="Arial"/>
          <w:i/>
        </w:rPr>
        <w:t xml:space="preserve">. </w:t>
      </w:r>
      <w:r w:rsidR="00F76DE8" w:rsidRPr="00370EE5">
        <w:rPr>
          <w:rFonts w:cs="Arial"/>
          <w:i/>
        </w:rPr>
        <w:t>prosince</w:t>
      </w:r>
      <w:r w:rsidRPr="00370EE5">
        <w:rPr>
          <w:rFonts w:cs="Arial"/>
          <w:i/>
        </w:rPr>
        <w:t xml:space="preserve"> 201</w:t>
      </w:r>
      <w:r w:rsidR="00EB74BE" w:rsidRPr="00D37741">
        <w:rPr>
          <w:rFonts w:cs="Arial"/>
          <w:i/>
        </w:rPr>
        <w:t>3</w:t>
      </w:r>
      <w:r w:rsidRPr="00D37741">
        <w:rPr>
          <w:rFonts w:cs="Arial"/>
          <w:i/>
        </w:rPr>
        <w:t xml:space="preserve"> </w:t>
      </w:r>
      <w:r w:rsidRPr="00B83B3B">
        <w:rPr>
          <w:rFonts w:cs="Arial"/>
          <w:i/>
        </w:rPr>
        <w:t xml:space="preserve">k návrhu rozhodnutí </w:t>
      </w:r>
      <w:r w:rsidR="00917FED">
        <w:rPr>
          <w:rFonts w:cs="Arial"/>
          <w:i/>
        </w:rPr>
        <w:t>nevyjádřila</w:t>
      </w:r>
      <w:r w:rsidRPr="008E126C">
        <w:rPr>
          <w:rFonts w:cs="Arial"/>
          <w:i/>
        </w:rPr>
        <w:t>.</w:t>
      </w:r>
      <w:r w:rsidR="00D07AA7" w:rsidRPr="008E126C">
        <w:rPr>
          <w:b/>
        </w:rPr>
        <w:t xml:space="preserve"> </w:t>
      </w:r>
    </w:p>
    <w:p w:rsidR="00D07AA7" w:rsidRPr="008E126C" w:rsidRDefault="00592962" w:rsidP="00E1419D">
      <w:pPr>
        <w:spacing w:before="240" w:after="240"/>
        <w:jc w:val="center"/>
        <w:outlineLvl w:val="0"/>
        <w:rPr>
          <w:b/>
        </w:rPr>
      </w:pPr>
      <w:r w:rsidRPr="008E126C">
        <w:rPr>
          <w:i/>
        </w:rPr>
        <w:t>***</w:t>
      </w:r>
    </w:p>
    <w:p w:rsidR="00276C6C" w:rsidRPr="008E126C" w:rsidRDefault="00592962" w:rsidP="00C172FB">
      <w:pPr>
        <w:ind w:firstLine="709"/>
        <w:jc w:val="both"/>
        <w:outlineLvl w:val="0"/>
        <w:rPr>
          <w:i/>
        </w:rPr>
      </w:pPr>
      <w:r w:rsidRPr="008E126C">
        <w:rPr>
          <w:rFonts w:cs="Arial"/>
          <w:i/>
        </w:rPr>
        <w:t>Účastníku řízení byla dána možnost, aby se vyjádřil k podkladům rozhodnutí a navrhl případné doplnění. Účastník řízení nahlédl do spisu před vydáním rozhodnutí dne XX. XXXX 201</w:t>
      </w:r>
      <w:r w:rsidR="009E43FD">
        <w:rPr>
          <w:rFonts w:cs="Arial"/>
          <w:i/>
        </w:rPr>
        <w:t>4</w:t>
      </w:r>
      <w:r w:rsidRPr="008E126C">
        <w:rPr>
          <w:rFonts w:cs="Arial"/>
          <w:i/>
        </w:rPr>
        <w:t xml:space="preserve"> a ne/měl žádné připomínky.</w:t>
      </w:r>
    </w:p>
    <w:p w:rsidR="00384304" w:rsidRPr="008E126C" w:rsidRDefault="00384304" w:rsidP="00AA763F">
      <w:pPr>
        <w:keepNext/>
        <w:spacing w:before="480" w:after="240"/>
        <w:jc w:val="center"/>
        <w:outlineLvl w:val="0"/>
        <w:rPr>
          <w:b/>
        </w:rPr>
      </w:pPr>
      <w:r w:rsidRPr="008E126C">
        <w:rPr>
          <w:b/>
        </w:rPr>
        <w:t>Poučení:</w:t>
      </w:r>
    </w:p>
    <w:p w:rsidR="005B3B60" w:rsidRPr="008E126C" w:rsidRDefault="00384304" w:rsidP="00C172FB">
      <w:pPr>
        <w:keepNext/>
        <w:spacing w:after="1440"/>
        <w:ind w:firstLine="709"/>
        <w:jc w:val="both"/>
      </w:pPr>
      <w:r w:rsidRPr="008E126C">
        <w:t>Proti tomuto rozhodnutí není přípustný opravný prostředek</w:t>
      </w:r>
    </w:p>
    <w:p w:rsidR="00592962" w:rsidRPr="00BC1077" w:rsidRDefault="00592962" w:rsidP="00E40D23">
      <w:pPr>
        <w:pStyle w:val="Zkladntextodsazen"/>
        <w:spacing w:after="0"/>
        <w:ind w:left="3544" w:firstLine="709"/>
        <w:jc w:val="center"/>
      </w:pPr>
      <w:r w:rsidRPr="008E126C">
        <w:t>Za Radu Českého telekomunikačního úř</w:t>
      </w:r>
      <w:r w:rsidRPr="00BC1077">
        <w:t>adu:</w:t>
      </w:r>
    </w:p>
    <w:sectPr w:rsidR="00592962" w:rsidRPr="00BC1077" w:rsidSect="009613F4">
      <w:headerReference w:type="default" r:id="rId18"/>
      <w:footerReference w:type="default" r:id="rId19"/>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EA" w:rsidRDefault="009B71EA">
      <w:r>
        <w:separator/>
      </w:r>
    </w:p>
  </w:endnote>
  <w:endnote w:type="continuationSeparator" w:id="0">
    <w:p w:rsidR="009B71EA" w:rsidRDefault="009B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A" w:rsidRPr="00FB00E3" w:rsidRDefault="009B71EA">
    <w:pPr>
      <w:pStyle w:val="Zpat"/>
      <w:rPr>
        <w:sz w:val="16"/>
        <w:szCs w:val="16"/>
      </w:rPr>
    </w:pPr>
    <w:r>
      <w:rPr>
        <w:sz w:val="16"/>
        <w:szCs w:val="16"/>
      </w:rPr>
      <w:tab/>
    </w:r>
    <w:r>
      <w:rPr>
        <w:rStyle w:val="slostrnky"/>
      </w:rPr>
      <w:fldChar w:fldCharType="begin"/>
    </w:r>
    <w:r>
      <w:rPr>
        <w:rStyle w:val="slostrnky"/>
      </w:rPr>
      <w:instrText xml:space="preserve"> PAGE </w:instrText>
    </w:r>
    <w:r>
      <w:rPr>
        <w:rStyle w:val="slostrnky"/>
      </w:rPr>
      <w:fldChar w:fldCharType="separate"/>
    </w:r>
    <w:r w:rsidR="00772E16">
      <w:rPr>
        <w:rStyle w:val="slostrnky"/>
        <w:noProof/>
      </w:rPr>
      <w:t>11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772E16">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EA" w:rsidRDefault="009B71EA">
      <w:r>
        <w:separator/>
      </w:r>
    </w:p>
  </w:footnote>
  <w:footnote w:type="continuationSeparator" w:id="0">
    <w:p w:rsidR="009B71EA" w:rsidRDefault="009B71EA">
      <w:r>
        <w:continuationSeparator/>
      </w:r>
    </w:p>
  </w:footnote>
  <w:footnote w:id="1">
    <w:p w:rsidR="009B71EA" w:rsidRPr="002B4965" w:rsidRDefault="009B71EA" w:rsidP="0079226E">
      <w:pPr>
        <w:pStyle w:val="Textpoznpodarou"/>
        <w:jc w:val="both"/>
        <w:rPr>
          <w:rFonts w:ascii="Arial" w:hAnsi="Arial" w:cs="Arial"/>
          <w:sz w:val="18"/>
          <w:szCs w:val="18"/>
        </w:rPr>
      </w:pPr>
      <w:r w:rsidRPr="002B4965">
        <w:rPr>
          <w:rStyle w:val="Znakapoznpodarou"/>
          <w:rFonts w:ascii="Arial" w:hAnsi="Arial" w:cs="Arial"/>
          <w:sz w:val="18"/>
          <w:szCs w:val="18"/>
        </w:rPr>
        <w:footnoteRef/>
      </w:r>
      <w:r w:rsidRPr="002B4965">
        <w:rPr>
          <w:rFonts w:ascii="Arial" w:hAnsi="Arial" w:cs="Arial"/>
          <w:sz w:val="18"/>
          <w:szCs w:val="18"/>
        </w:rPr>
        <w:t xml:space="preserve"> Evropský hospodářský prostor tvoří členské země Evropské unie a dále Island, Lichtenštejnsko a Norsko.</w:t>
      </w:r>
    </w:p>
  </w:footnote>
  <w:footnote w:id="2">
    <w:p w:rsidR="009B71EA" w:rsidRPr="008405C5" w:rsidRDefault="009B71EA" w:rsidP="008405C5">
      <w:pPr>
        <w:pStyle w:val="Textpoznpodarou"/>
        <w:jc w:val="both"/>
        <w:rPr>
          <w:rFonts w:ascii="Arial" w:hAnsi="Arial" w:cs="Arial"/>
          <w:sz w:val="16"/>
          <w:szCs w:val="16"/>
        </w:rPr>
      </w:pPr>
      <w:r w:rsidRPr="008405C5">
        <w:rPr>
          <w:rStyle w:val="Znakapoznpodarou"/>
          <w:rFonts w:ascii="Arial" w:hAnsi="Arial" w:cs="Arial"/>
          <w:sz w:val="16"/>
          <w:szCs w:val="16"/>
        </w:rPr>
        <w:footnoteRef/>
      </w:r>
      <w:r w:rsidRPr="008405C5">
        <w:rPr>
          <w:rFonts w:ascii="Arial" w:hAnsi="Arial" w:cs="Arial"/>
          <w:sz w:val="16"/>
          <w:szCs w:val="16"/>
        </w:rPr>
        <w:t xml:space="preserve"> Viz str. 19.</w:t>
      </w:r>
      <w:r>
        <w:rPr>
          <w:rFonts w:ascii="Arial" w:hAnsi="Arial" w:cs="Arial"/>
          <w:sz w:val="16"/>
          <w:szCs w:val="16"/>
        </w:rPr>
        <w:t xml:space="preserve"> v dokumentu Evropské komise pod názvem „</w:t>
      </w:r>
      <w:proofErr w:type="spellStart"/>
      <w:r>
        <w:rPr>
          <w:rFonts w:ascii="Arial" w:hAnsi="Arial" w:cs="Arial"/>
          <w:sz w:val="16"/>
          <w:szCs w:val="16"/>
        </w:rPr>
        <w:t>Commission</w:t>
      </w:r>
      <w:proofErr w:type="spellEnd"/>
      <w:r>
        <w:rPr>
          <w:rFonts w:ascii="Arial" w:hAnsi="Arial" w:cs="Arial"/>
          <w:sz w:val="16"/>
          <w:szCs w:val="16"/>
        </w:rPr>
        <w:t xml:space="preserve"> </w:t>
      </w:r>
      <w:proofErr w:type="spellStart"/>
      <w:r>
        <w:rPr>
          <w:rFonts w:ascii="Arial" w:hAnsi="Arial" w:cs="Arial"/>
          <w:sz w:val="16"/>
          <w:szCs w:val="16"/>
        </w:rPr>
        <w:t>staff</w:t>
      </w:r>
      <w:proofErr w:type="spellEnd"/>
      <w:r>
        <w:rPr>
          <w:rFonts w:ascii="Arial" w:hAnsi="Arial" w:cs="Arial"/>
          <w:sz w:val="16"/>
          <w:szCs w:val="16"/>
        </w:rPr>
        <w:t xml:space="preserve"> </w:t>
      </w:r>
      <w:proofErr w:type="spellStart"/>
      <w:r>
        <w:rPr>
          <w:rFonts w:ascii="Arial" w:hAnsi="Arial" w:cs="Arial"/>
          <w:sz w:val="16"/>
          <w:szCs w:val="16"/>
        </w:rPr>
        <w:t>working</w:t>
      </w:r>
      <w:proofErr w:type="spellEnd"/>
      <w:r>
        <w:rPr>
          <w:rFonts w:ascii="Arial" w:hAnsi="Arial" w:cs="Arial"/>
          <w:sz w:val="16"/>
          <w:szCs w:val="16"/>
        </w:rPr>
        <w:t xml:space="preserve"> dokument </w:t>
      </w:r>
      <w:proofErr w:type="spellStart"/>
      <w:r>
        <w:rPr>
          <w:rFonts w:ascii="Arial" w:hAnsi="Arial" w:cs="Arial"/>
          <w:sz w:val="16"/>
          <w:szCs w:val="16"/>
        </w:rPr>
        <w:t>accompanying</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Commission</w:t>
      </w:r>
      <w:proofErr w:type="spellEnd"/>
      <w:r>
        <w:rPr>
          <w:rFonts w:ascii="Arial" w:hAnsi="Arial" w:cs="Arial"/>
          <w:sz w:val="16"/>
          <w:szCs w:val="16"/>
        </w:rPr>
        <w:t xml:space="preserve"> </w:t>
      </w:r>
      <w:proofErr w:type="spellStart"/>
      <w:r>
        <w:rPr>
          <w:rFonts w:ascii="Arial" w:hAnsi="Arial" w:cs="Arial"/>
          <w:sz w:val="16"/>
          <w:szCs w:val="16"/>
        </w:rPr>
        <w:t>Recommendation</w:t>
      </w:r>
      <w:proofErr w:type="spellEnd"/>
      <w:r>
        <w:rPr>
          <w:rFonts w:ascii="Arial" w:hAnsi="Arial" w:cs="Arial"/>
          <w:sz w:val="16"/>
          <w:szCs w:val="16"/>
        </w:rPr>
        <w:t xml:space="preserve"> on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Regulatory</w:t>
      </w:r>
      <w:proofErr w:type="spellEnd"/>
      <w:r>
        <w:rPr>
          <w:rFonts w:ascii="Arial" w:hAnsi="Arial" w:cs="Arial"/>
          <w:sz w:val="16"/>
          <w:szCs w:val="16"/>
        </w:rPr>
        <w:t xml:space="preserve"> </w:t>
      </w:r>
      <w:proofErr w:type="spellStart"/>
      <w:r>
        <w:rPr>
          <w:rFonts w:ascii="Arial" w:hAnsi="Arial" w:cs="Arial"/>
          <w:sz w:val="16"/>
          <w:szCs w:val="16"/>
        </w:rPr>
        <w:t>Treatment</w:t>
      </w:r>
      <w:proofErr w:type="spellEnd"/>
      <w:r>
        <w:rPr>
          <w:rFonts w:ascii="Arial" w:hAnsi="Arial" w:cs="Arial"/>
          <w:sz w:val="16"/>
          <w:szCs w:val="16"/>
        </w:rPr>
        <w:t xml:space="preserv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Fixed</w:t>
      </w:r>
      <w:proofErr w:type="spellEnd"/>
      <w:r>
        <w:rPr>
          <w:rFonts w:ascii="Arial" w:hAnsi="Arial" w:cs="Arial"/>
          <w:sz w:val="16"/>
          <w:szCs w:val="16"/>
        </w:rPr>
        <w:t xml:space="preserve"> and Mobile </w:t>
      </w:r>
      <w:proofErr w:type="spellStart"/>
      <w:r>
        <w:rPr>
          <w:rFonts w:ascii="Arial" w:hAnsi="Arial" w:cs="Arial"/>
          <w:sz w:val="16"/>
          <w:szCs w:val="16"/>
        </w:rPr>
        <w:t>Termination</w:t>
      </w:r>
      <w:proofErr w:type="spellEnd"/>
      <w:r>
        <w:rPr>
          <w:rFonts w:ascii="Arial" w:hAnsi="Arial" w:cs="Arial"/>
          <w:sz w:val="16"/>
          <w:szCs w:val="16"/>
        </w:rPr>
        <w:t xml:space="preserve"> </w:t>
      </w:r>
      <w:proofErr w:type="spellStart"/>
      <w:r>
        <w:rPr>
          <w:rFonts w:ascii="Arial" w:hAnsi="Arial" w:cs="Arial"/>
          <w:sz w:val="16"/>
          <w:szCs w:val="16"/>
        </w:rPr>
        <w:t>Rates</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EU, </w:t>
      </w:r>
      <w:proofErr w:type="spellStart"/>
      <w:r>
        <w:rPr>
          <w:rFonts w:ascii="Arial" w:hAnsi="Arial" w:cs="Arial"/>
          <w:sz w:val="16"/>
          <w:szCs w:val="16"/>
        </w:rPr>
        <w:t>Explanatory</w:t>
      </w:r>
      <w:proofErr w:type="spellEnd"/>
      <w:r>
        <w:rPr>
          <w:rFonts w:ascii="Arial" w:hAnsi="Arial" w:cs="Arial"/>
          <w:sz w:val="16"/>
          <w:szCs w:val="16"/>
        </w:rPr>
        <w:t xml:space="preserve"> </w:t>
      </w:r>
      <w:proofErr w:type="spellStart"/>
      <w:r>
        <w:rPr>
          <w:rFonts w:ascii="Arial" w:hAnsi="Arial" w:cs="Arial"/>
          <w:sz w:val="16"/>
          <w:szCs w:val="16"/>
        </w:rPr>
        <w:t>note</w:t>
      </w:r>
      <w:proofErr w:type="spellEnd"/>
      <w:r>
        <w:rPr>
          <w:rFonts w:ascii="Arial" w:hAnsi="Arial" w:cs="Arial"/>
          <w:sz w:val="16"/>
          <w:szCs w:val="16"/>
        </w:rPr>
        <w:t xml:space="preserve">, (C(2009) 3359 </w:t>
      </w:r>
      <w:proofErr w:type="spellStart"/>
      <w:r>
        <w:rPr>
          <w:rFonts w:ascii="Arial" w:hAnsi="Arial" w:cs="Arial"/>
          <w:sz w:val="16"/>
          <w:szCs w:val="16"/>
        </w:rPr>
        <w:t>final</w:t>
      </w:r>
      <w:proofErr w:type="spellEnd"/>
      <w:r>
        <w:rPr>
          <w:rFonts w:ascii="Arial" w:hAnsi="Arial" w:cs="Arial"/>
          <w:sz w:val="16"/>
          <w:szCs w:val="16"/>
        </w:rPr>
        <w:t xml:space="preserve">) </w:t>
      </w:r>
      <w:proofErr w:type="gramStart"/>
      <w:r>
        <w:rPr>
          <w:rFonts w:ascii="Arial" w:hAnsi="Arial" w:cs="Arial"/>
          <w:sz w:val="16"/>
          <w:szCs w:val="16"/>
        </w:rPr>
        <w:t>SEC(2009</w:t>
      </w:r>
      <w:proofErr w:type="gramEnd"/>
      <w:r>
        <w:rPr>
          <w:rFonts w:ascii="Arial" w:hAnsi="Arial" w:cs="Arial"/>
          <w:sz w:val="16"/>
          <w:szCs w:val="16"/>
        </w:rPr>
        <w:t>)599“</w:t>
      </w:r>
    </w:p>
  </w:footnote>
  <w:footnote w:id="3">
    <w:p w:rsidR="009B71EA" w:rsidRPr="0044688A" w:rsidRDefault="009B71EA" w:rsidP="0044688A">
      <w:pPr>
        <w:pStyle w:val="Textpoznpodarou"/>
        <w:jc w:val="both"/>
        <w:rPr>
          <w:rFonts w:ascii="Arial" w:hAnsi="Arial" w:cs="Arial"/>
          <w:sz w:val="16"/>
          <w:szCs w:val="16"/>
        </w:rPr>
      </w:pPr>
      <w:r w:rsidRPr="0044688A">
        <w:rPr>
          <w:rStyle w:val="Znakapoznpodarou"/>
          <w:rFonts w:ascii="Arial" w:hAnsi="Arial" w:cs="Arial"/>
          <w:sz w:val="16"/>
          <w:szCs w:val="16"/>
        </w:rPr>
        <w:footnoteRef/>
      </w:r>
      <w:r w:rsidRPr="0044688A">
        <w:rPr>
          <w:rFonts w:ascii="Arial" w:hAnsi="Arial" w:cs="Arial"/>
          <w:sz w:val="16"/>
          <w:szCs w:val="16"/>
        </w:rPr>
        <w:t xml:space="preserve"> Viz </w:t>
      </w:r>
      <w:hyperlink r:id="rId1" w:history="1">
        <w:r w:rsidRPr="0044688A">
          <w:rPr>
            <w:rStyle w:val="Hypertextovodkaz"/>
            <w:rFonts w:ascii="Arial" w:hAnsi="Arial" w:cs="Arial"/>
            <w:sz w:val="16"/>
            <w:szCs w:val="16"/>
          </w:rPr>
          <w:t>CEN/7/12.2012-7</w:t>
        </w:r>
      </w:hyperlink>
      <w:r w:rsidRPr="0044688A">
        <w:rPr>
          <w:rFonts w:ascii="Arial" w:hAnsi="Arial" w:cs="Arial"/>
          <w:sz w:val="16"/>
          <w:szCs w:val="16"/>
        </w:rPr>
        <w:t xml:space="preserve">, </w:t>
      </w:r>
      <w:hyperlink r:id="rId2" w:history="1">
        <w:r w:rsidRPr="0044688A">
          <w:rPr>
            <w:rStyle w:val="Hypertextovodkaz"/>
            <w:rFonts w:ascii="Arial" w:hAnsi="Arial" w:cs="Arial"/>
            <w:sz w:val="16"/>
            <w:szCs w:val="16"/>
          </w:rPr>
          <w:t>CEN/7/12.2012-5</w:t>
        </w:r>
      </w:hyperlink>
      <w:r w:rsidRPr="0044688A">
        <w:rPr>
          <w:rFonts w:ascii="Arial" w:hAnsi="Arial" w:cs="Arial"/>
          <w:sz w:val="16"/>
          <w:szCs w:val="16"/>
        </w:rPr>
        <w:t xml:space="preserve">, </w:t>
      </w:r>
      <w:hyperlink r:id="rId3" w:history="1">
        <w:r w:rsidRPr="0044688A">
          <w:rPr>
            <w:rStyle w:val="Hypertextovodkaz"/>
            <w:rFonts w:ascii="Arial" w:hAnsi="Arial" w:cs="Arial"/>
            <w:sz w:val="16"/>
            <w:szCs w:val="16"/>
          </w:rPr>
          <w:t>CEN/7/12.2012-6</w:t>
        </w:r>
      </w:hyperlink>
    </w:p>
  </w:footnote>
  <w:footnote w:id="4">
    <w:p w:rsidR="009B71EA" w:rsidRPr="00356503" w:rsidRDefault="009B71EA" w:rsidP="00356503">
      <w:pPr>
        <w:pStyle w:val="Textpoznpodarou"/>
        <w:jc w:val="both"/>
        <w:rPr>
          <w:rFonts w:ascii="Arial" w:hAnsi="Arial" w:cs="Arial"/>
          <w:sz w:val="16"/>
          <w:szCs w:val="16"/>
        </w:rPr>
      </w:pPr>
      <w:r w:rsidRPr="00356503">
        <w:rPr>
          <w:rStyle w:val="Znakapoznpodarou"/>
          <w:rFonts w:ascii="Arial" w:hAnsi="Arial" w:cs="Arial"/>
          <w:sz w:val="16"/>
          <w:szCs w:val="16"/>
        </w:rPr>
        <w:footnoteRef/>
      </w:r>
      <w:r w:rsidRPr="00356503">
        <w:rPr>
          <w:rFonts w:ascii="Arial" w:hAnsi="Arial" w:cs="Arial"/>
          <w:sz w:val="16"/>
          <w:szCs w:val="16"/>
        </w:rPr>
        <w:t xml:space="preserve"> Viz zpráva Sdružení evropských regulačních orgánů</w:t>
      </w:r>
      <w:r>
        <w:rPr>
          <w:rFonts w:ascii="Arial" w:hAnsi="Arial" w:cs="Arial"/>
          <w:sz w:val="16"/>
          <w:szCs w:val="16"/>
        </w:rPr>
        <w:t xml:space="preserve"> v sektoru elektronických komunikací</w:t>
      </w:r>
      <w:r w:rsidRPr="00356503">
        <w:rPr>
          <w:rFonts w:ascii="Arial" w:hAnsi="Arial" w:cs="Arial"/>
          <w:sz w:val="16"/>
          <w:szCs w:val="16"/>
        </w:rPr>
        <w:t xml:space="preserve"> BEREC s názvem </w:t>
      </w:r>
      <w:proofErr w:type="spellStart"/>
      <w:r w:rsidRPr="00356503">
        <w:rPr>
          <w:rFonts w:ascii="Arial" w:hAnsi="Arial" w:cs="Arial"/>
          <w:sz w:val="16"/>
          <w:szCs w:val="16"/>
        </w:rPr>
        <w:t>Termination</w:t>
      </w:r>
      <w:proofErr w:type="spellEnd"/>
      <w:r w:rsidRPr="00356503">
        <w:rPr>
          <w:rFonts w:ascii="Arial" w:hAnsi="Arial" w:cs="Arial"/>
          <w:sz w:val="16"/>
          <w:szCs w:val="16"/>
        </w:rPr>
        <w:t xml:space="preserve"> </w:t>
      </w:r>
      <w:proofErr w:type="spellStart"/>
      <w:r w:rsidRPr="00356503">
        <w:rPr>
          <w:rFonts w:ascii="Arial" w:hAnsi="Arial" w:cs="Arial"/>
          <w:sz w:val="16"/>
          <w:szCs w:val="16"/>
        </w:rPr>
        <w:t>Rates</w:t>
      </w:r>
      <w:proofErr w:type="spellEnd"/>
      <w:r w:rsidRPr="00356503">
        <w:rPr>
          <w:rFonts w:ascii="Arial" w:hAnsi="Arial" w:cs="Arial"/>
          <w:sz w:val="16"/>
          <w:szCs w:val="16"/>
        </w:rPr>
        <w:t xml:space="preserve"> </w:t>
      </w:r>
      <w:proofErr w:type="spellStart"/>
      <w:r w:rsidRPr="00356503">
        <w:rPr>
          <w:rFonts w:ascii="Arial" w:hAnsi="Arial" w:cs="Arial"/>
          <w:sz w:val="16"/>
          <w:szCs w:val="16"/>
        </w:rPr>
        <w:t>Benchmark</w:t>
      </w:r>
      <w:proofErr w:type="spellEnd"/>
      <w:r w:rsidRPr="00356503">
        <w:rPr>
          <w:rFonts w:ascii="Arial" w:hAnsi="Arial" w:cs="Arial"/>
          <w:sz w:val="16"/>
          <w:szCs w:val="16"/>
        </w:rPr>
        <w:t xml:space="preserve"> </w:t>
      </w:r>
      <w:proofErr w:type="spellStart"/>
      <w:r w:rsidRPr="00356503">
        <w:rPr>
          <w:rFonts w:ascii="Arial" w:hAnsi="Arial" w:cs="Arial"/>
          <w:sz w:val="16"/>
          <w:szCs w:val="16"/>
        </w:rPr>
        <w:t>Snapshot</w:t>
      </w:r>
      <w:proofErr w:type="spellEnd"/>
      <w:r w:rsidRPr="00356503">
        <w:rPr>
          <w:rFonts w:ascii="Arial" w:hAnsi="Arial" w:cs="Arial"/>
          <w:sz w:val="16"/>
          <w:szCs w:val="16"/>
        </w:rPr>
        <w:t xml:space="preserve"> (as </w:t>
      </w:r>
      <w:proofErr w:type="spellStart"/>
      <w:r w:rsidRPr="00356503">
        <w:rPr>
          <w:rFonts w:ascii="Arial" w:hAnsi="Arial" w:cs="Arial"/>
          <w:sz w:val="16"/>
          <w:szCs w:val="16"/>
        </w:rPr>
        <w:t>of</w:t>
      </w:r>
      <w:proofErr w:type="spellEnd"/>
      <w:r w:rsidRPr="00356503">
        <w:rPr>
          <w:rFonts w:ascii="Arial" w:hAnsi="Arial" w:cs="Arial"/>
          <w:sz w:val="16"/>
          <w:szCs w:val="16"/>
        </w:rPr>
        <w:t xml:space="preserve"> July 2013) – </w:t>
      </w:r>
      <w:proofErr w:type="spellStart"/>
      <w:r w:rsidRPr="00356503">
        <w:rPr>
          <w:rFonts w:ascii="Arial" w:hAnsi="Arial" w:cs="Arial"/>
          <w:sz w:val="16"/>
          <w:szCs w:val="16"/>
        </w:rPr>
        <w:t>Integrated</w:t>
      </w:r>
      <w:proofErr w:type="spellEnd"/>
      <w:r w:rsidRPr="00356503">
        <w:rPr>
          <w:rFonts w:ascii="Arial" w:hAnsi="Arial" w:cs="Arial"/>
          <w:sz w:val="16"/>
          <w:szCs w:val="16"/>
        </w:rPr>
        <w:t xml:space="preserve"> Report on Mobile </w:t>
      </w:r>
      <w:proofErr w:type="spellStart"/>
      <w:r w:rsidRPr="00356503">
        <w:rPr>
          <w:rFonts w:ascii="Arial" w:hAnsi="Arial" w:cs="Arial"/>
          <w:sz w:val="16"/>
          <w:szCs w:val="16"/>
        </w:rPr>
        <w:t>Termination</w:t>
      </w:r>
      <w:proofErr w:type="spellEnd"/>
      <w:r w:rsidRPr="00356503">
        <w:rPr>
          <w:rFonts w:ascii="Arial" w:hAnsi="Arial" w:cs="Arial"/>
          <w:sz w:val="16"/>
          <w:szCs w:val="16"/>
        </w:rPr>
        <w:t xml:space="preserve"> </w:t>
      </w:r>
      <w:proofErr w:type="spellStart"/>
      <w:r w:rsidRPr="00356503">
        <w:rPr>
          <w:rFonts w:ascii="Arial" w:hAnsi="Arial" w:cs="Arial"/>
          <w:sz w:val="16"/>
          <w:szCs w:val="16"/>
        </w:rPr>
        <w:t>Rates</w:t>
      </w:r>
      <w:proofErr w:type="spellEnd"/>
      <w:r w:rsidRPr="00356503">
        <w:rPr>
          <w:rFonts w:ascii="Arial" w:hAnsi="Arial" w:cs="Arial"/>
          <w:sz w:val="16"/>
          <w:szCs w:val="16"/>
        </w:rPr>
        <w:t xml:space="preserve"> and SMS </w:t>
      </w:r>
      <w:proofErr w:type="spellStart"/>
      <w:r w:rsidRPr="00356503">
        <w:rPr>
          <w:rFonts w:ascii="Arial" w:hAnsi="Arial" w:cs="Arial"/>
          <w:sz w:val="16"/>
          <w:szCs w:val="16"/>
        </w:rPr>
        <w:t>Terminaiton</w:t>
      </w:r>
      <w:proofErr w:type="spellEnd"/>
      <w:r w:rsidRPr="00356503">
        <w:rPr>
          <w:rFonts w:ascii="Arial" w:hAnsi="Arial" w:cs="Arial"/>
          <w:sz w:val="16"/>
          <w:szCs w:val="16"/>
        </w:rPr>
        <w:t xml:space="preserve"> </w:t>
      </w:r>
      <w:proofErr w:type="spellStart"/>
      <w:r w:rsidRPr="00356503">
        <w:rPr>
          <w:rFonts w:ascii="Arial" w:hAnsi="Arial" w:cs="Arial"/>
          <w:sz w:val="16"/>
          <w:szCs w:val="16"/>
        </w:rPr>
        <w:t>Rates</w:t>
      </w:r>
      <w:proofErr w:type="spellEnd"/>
      <w:r w:rsidRPr="00356503">
        <w:rPr>
          <w:rFonts w:ascii="Arial" w:hAnsi="Arial" w:cs="Arial"/>
          <w:sz w:val="16"/>
          <w:szCs w:val="16"/>
        </w:rPr>
        <w:t xml:space="preserve">, </w:t>
      </w:r>
      <w:hyperlink r:id="rId4" w:history="1">
        <w:proofErr w:type="spellStart"/>
        <w:proofErr w:type="gramStart"/>
        <w:r w:rsidRPr="00356503">
          <w:rPr>
            <w:rStyle w:val="Hypertextovodkaz"/>
            <w:rFonts w:ascii="Arial" w:hAnsi="Arial" w:cs="Arial"/>
            <w:sz w:val="16"/>
            <w:szCs w:val="16"/>
          </w:rPr>
          <w:t>BoR</w:t>
        </w:r>
        <w:proofErr w:type="spellEnd"/>
        <w:r w:rsidRPr="00356503">
          <w:rPr>
            <w:rStyle w:val="Hypertextovodkaz"/>
            <w:rFonts w:ascii="Arial" w:hAnsi="Arial" w:cs="Arial"/>
            <w:sz w:val="16"/>
            <w:szCs w:val="16"/>
          </w:rPr>
          <w:t>(13</w:t>
        </w:r>
        <w:proofErr w:type="gramEnd"/>
        <w:r w:rsidRPr="00356503">
          <w:rPr>
            <w:rStyle w:val="Hypertextovodkaz"/>
            <w:rFonts w:ascii="Arial" w:hAnsi="Arial" w:cs="Arial"/>
            <w:sz w:val="16"/>
            <w:szCs w:val="16"/>
          </w:rPr>
          <w:t>) 178</w:t>
        </w:r>
      </w:hyperlink>
      <w:r w:rsidRPr="00356503">
        <w:rPr>
          <w:rFonts w:ascii="Arial" w:hAnsi="Arial" w:cs="Arial"/>
          <w:sz w:val="16"/>
          <w:szCs w:val="16"/>
        </w:rPr>
        <w:t xml:space="preserve">, graf na str. 3. </w:t>
      </w:r>
    </w:p>
  </w:footnote>
  <w:footnote w:id="5">
    <w:p w:rsidR="009B71EA" w:rsidRPr="00904C3B" w:rsidRDefault="009B71EA" w:rsidP="00904C3B">
      <w:pPr>
        <w:pStyle w:val="Textpoznpodarou"/>
        <w:jc w:val="both"/>
        <w:rPr>
          <w:rFonts w:ascii="Arial" w:hAnsi="Arial" w:cs="Arial"/>
          <w:sz w:val="16"/>
          <w:szCs w:val="16"/>
        </w:rPr>
      </w:pPr>
      <w:r w:rsidRPr="00904C3B">
        <w:rPr>
          <w:rStyle w:val="Znakapoznpodarou"/>
          <w:rFonts w:ascii="Arial" w:hAnsi="Arial" w:cs="Arial"/>
          <w:sz w:val="16"/>
          <w:szCs w:val="16"/>
        </w:rPr>
        <w:footnoteRef/>
      </w:r>
      <w:r w:rsidRPr="00904C3B">
        <w:rPr>
          <w:rFonts w:ascii="Arial" w:hAnsi="Arial" w:cs="Arial"/>
          <w:sz w:val="16"/>
          <w:szCs w:val="16"/>
        </w:rPr>
        <w:t xml:space="preserve"> Viz </w:t>
      </w:r>
      <w:hyperlink r:id="rId5" w:history="1">
        <w:r w:rsidRPr="00904C3B">
          <w:rPr>
            <w:rStyle w:val="Hypertextovodkaz"/>
            <w:rFonts w:ascii="Arial" w:hAnsi="Arial" w:cs="Arial"/>
            <w:sz w:val="16"/>
            <w:szCs w:val="16"/>
          </w:rPr>
          <w:t>analýza relevantního trhu č. 7</w:t>
        </w:r>
      </w:hyperlink>
      <w:r w:rsidRPr="00904C3B">
        <w:rPr>
          <w:rFonts w:ascii="Arial" w:hAnsi="Arial" w:cs="Arial"/>
          <w:sz w:val="16"/>
          <w:szCs w:val="16"/>
        </w:rPr>
        <w:t xml:space="preserve"> (č. A/7/12.2013-9), graf č. 6 na str. 34.</w:t>
      </w:r>
    </w:p>
  </w:footnote>
  <w:footnote w:id="6">
    <w:p w:rsidR="009B71EA" w:rsidRPr="00852D7C" w:rsidRDefault="009B71EA" w:rsidP="006A42B1">
      <w:pPr>
        <w:pStyle w:val="Textpoznpodarou"/>
        <w:jc w:val="both"/>
        <w:rPr>
          <w:rFonts w:ascii="Arial" w:hAnsi="Arial" w:cs="Arial"/>
          <w:sz w:val="16"/>
          <w:szCs w:val="16"/>
        </w:rPr>
      </w:pPr>
      <w:r w:rsidRPr="00852D7C">
        <w:rPr>
          <w:rStyle w:val="Znakapoznpodarou"/>
          <w:rFonts w:ascii="Arial" w:hAnsi="Arial" w:cs="Arial"/>
          <w:sz w:val="16"/>
          <w:szCs w:val="16"/>
        </w:rPr>
        <w:footnoteRef/>
      </w:r>
      <w:r w:rsidRPr="00852D7C">
        <w:rPr>
          <w:rFonts w:ascii="Arial" w:hAnsi="Arial" w:cs="Arial"/>
          <w:sz w:val="16"/>
          <w:szCs w:val="16"/>
        </w:rPr>
        <w:t xml:space="preserve"> </w:t>
      </w:r>
      <w:r>
        <w:rPr>
          <w:rFonts w:ascii="Arial" w:hAnsi="Arial" w:cs="Arial"/>
          <w:sz w:val="16"/>
          <w:szCs w:val="16"/>
        </w:rPr>
        <w:t xml:space="preserve">Viz </w:t>
      </w:r>
      <w:hyperlink r:id="rId6" w:history="1">
        <w:r w:rsidRPr="00852D7C">
          <w:rPr>
            <w:rStyle w:val="Hypertextovodkaz"/>
            <w:rFonts w:ascii="Arial" w:hAnsi="Arial" w:cs="Arial"/>
            <w:sz w:val="16"/>
            <w:szCs w:val="16"/>
          </w:rPr>
          <w:t>analýza relevantního trhu č. 3</w:t>
        </w:r>
      </w:hyperlink>
      <w:r w:rsidRPr="00852D7C">
        <w:rPr>
          <w:rFonts w:ascii="Arial" w:hAnsi="Arial" w:cs="Arial"/>
          <w:sz w:val="16"/>
          <w:szCs w:val="16"/>
        </w:rPr>
        <w:t xml:space="preserve"> z 10. prosince 2013, str. 52-53</w:t>
      </w:r>
    </w:p>
  </w:footnote>
  <w:footnote w:id="7">
    <w:p w:rsidR="009B71EA" w:rsidRPr="00C36B72" w:rsidRDefault="009B71EA" w:rsidP="00C36B72">
      <w:pPr>
        <w:pStyle w:val="Textpoznpodarou"/>
        <w:jc w:val="both"/>
        <w:rPr>
          <w:rFonts w:ascii="Arial" w:hAnsi="Arial" w:cs="Arial"/>
          <w:sz w:val="16"/>
          <w:szCs w:val="16"/>
        </w:rPr>
      </w:pPr>
      <w:r w:rsidRPr="00C36B72">
        <w:rPr>
          <w:rStyle w:val="Znakapoznpodarou"/>
          <w:rFonts w:ascii="Arial" w:hAnsi="Arial" w:cs="Arial"/>
          <w:sz w:val="16"/>
          <w:szCs w:val="16"/>
        </w:rPr>
        <w:footnoteRef/>
      </w:r>
      <w:r w:rsidRPr="00C36B72">
        <w:rPr>
          <w:rFonts w:ascii="Arial" w:hAnsi="Arial" w:cs="Arial"/>
          <w:sz w:val="16"/>
          <w:szCs w:val="16"/>
        </w:rPr>
        <w:t xml:space="preserve"> Viz BEREC </w:t>
      </w:r>
      <w:hyperlink r:id="rId7" w:history="1">
        <w:proofErr w:type="spellStart"/>
        <w:r w:rsidRPr="00C36B72">
          <w:rPr>
            <w:rStyle w:val="Hypertextovodkaz"/>
            <w:rFonts w:ascii="Arial" w:hAnsi="Arial" w:cs="Arial"/>
            <w:sz w:val="16"/>
            <w:szCs w:val="16"/>
          </w:rPr>
          <w:t>Opinion</w:t>
        </w:r>
        <w:proofErr w:type="spellEnd"/>
      </w:hyperlink>
      <w:r w:rsidRPr="00C36B72">
        <w:rPr>
          <w:rFonts w:ascii="Arial" w:hAnsi="Arial" w:cs="Arial"/>
          <w:sz w:val="16"/>
          <w:szCs w:val="16"/>
        </w:rPr>
        <w:t xml:space="preserve"> on </w:t>
      </w:r>
      <w:proofErr w:type="spellStart"/>
      <w:r w:rsidRPr="00C36B72">
        <w:rPr>
          <w:rFonts w:ascii="Arial" w:hAnsi="Arial" w:cs="Arial"/>
          <w:sz w:val="16"/>
          <w:szCs w:val="16"/>
        </w:rPr>
        <w:t>Phase</w:t>
      </w:r>
      <w:proofErr w:type="spellEnd"/>
      <w:r w:rsidRPr="00C36B72">
        <w:rPr>
          <w:rFonts w:ascii="Arial" w:hAnsi="Arial" w:cs="Arial"/>
          <w:sz w:val="16"/>
          <w:szCs w:val="16"/>
        </w:rPr>
        <w:t xml:space="preserve"> II </w:t>
      </w:r>
      <w:proofErr w:type="spellStart"/>
      <w:r w:rsidRPr="00C36B72">
        <w:rPr>
          <w:rFonts w:ascii="Arial" w:hAnsi="Arial" w:cs="Arial"/>
          <w:sz w:val="16"/>
          <w:szCs w:val="16"/>
        </w:rPr>
        <w:t>investigation</w:t>
      </w:r>
      <w:proofErr w:type="spellEnd"/>
      <w:r w:rsidRPr="00C36B72">
        <w:rPr>
          <w:rFonts w:ascii="Arial" w:hAnsi="Arial" w:cs="Arial"/>
          <w:sz w:val="16"/>
          <w:szCs w:val="16"/>
        </w:rPr>
        <w:t xml:space="preserve">, Case CZ/2012/1392, Call </w:t>
      </w:r>
      <w:proofErr w:type="spellStart"/>
      <w:r w:rsidRPr="00C36B72">
        <w:rPr>
          <w:rFonts w:ascii="Arial" w:hAnsi="Arial" w:cs="Arial"/>
          <w:sz w:val="16"/>
          <w:szCs w:val="16"/>
        </w:rPr>
        <w:t>termination</w:t>
      </w:r>
      <w:proofErr w:type="spellEnd"/>
      <w:r w:rsidRPr="00C36B72">
        <w:rPr>
          <w:rFonts w:ascii="Arial" w:hAnsi="Arial" w:cs="Arial"/>
          <w:sz w:val="16"/>
          <w:szCs w:val="16"/>
        </w:rPr>
        <w:t xml:space="preserve"> on </w:t>
      </w:r>
      <w:proofErr w:type="spellStart"/>
      <w:r w:rsidRPr="00C36B72">
        <w:rPr>
          <w:rFonts w:ascii="Arial" w:hAnsi="Arial" w:cs="Arial"/>
          <w:sz w:val="16"/>
          <w:szCs w:val="16"/>
        </w:rPr>
        <w:t>individual</w:t>
      </w:r>
      <w:proofErr w:type="spellEnd"/>
      <w:r w:rsidRPr="00C36B72">
        <w:rPr>
          <w:rFonts w:ascii="Arial" w:hAnsi="Arial" w:cs="Arial"/>
          <w:sz w:val="16"/>
          <w:szCs w:val="16"/>
        </w:rPr>
        <w:t xml:space="preserve"> public </w:t>
      </w:r>
      <w:proofErr w:type="spellStart"/>
      <w:r>
        <w:rPr>
          <w:rFonts w:ascii="Arial" w:hAnsi="Arial" w:cs="Arial"/>
          <w:sz w:val="16"/>
          <w:szCs w:val="16"/>
        </w:rPr>
        <w:t>telephone</w:t>
      </w:r>
      <w:proofErr w:type="spellEnd"/>
      <w:r w:rsidRPr="00C36B72">
        <w:rPr>
          <w:rFonts w:ascii="Arial" w:hAnsi="Arial" w:cs="Arial"/>
          <w:sz w:val="16"/>
          <w:szCs w:val="16"/>
        </w:rPr>
        <w:t xml:space="preserve"> network </w:t>
      </w:r>
      <w:proofErr w:type="spellStart"/>
      <w:r w:rsidRPr="00C36B72">
        <w:rPr>
          <w:rFonts w:ascii="Arial" w:hAnsi="Arial" w:cs="Arial"/>
          <w:sz w:val="16"/>
          <w:szCs w:val="16"/>
        </w:rPr>
        <w:t>provided</w:t>
      </w:r>
      <w:proofErr w:type="spellEnd"/>
      <w:r w:rsidRPr="00C36B72">
        <w:rPr>
          <w:rFonts w:ascii="Arial" w:hAnsi="Arial" w:cs="Arial"/>
          <w:sz w:val="16"/>
          <w:szCs w:val="16"/>
        </w:rPr>
        <w:t xml:space="preserve"> </w:t>
      </w:r>
      <w:proofErr w:type="spellStart"/>
      <w:r w:rsidRPr="00C36B72">
        <w:rPr>
          <w:rFonts w:ascii="Arial" w:hAnsi="Arial" w:cs="Arial"/>
          <w:sz w:val="16"/>
          <w:szCs w:val="16"/>
        </w:rPr>
        <w:t>at</w:t>
      </w:r>
      <w:proofErr w:type="spellEnd"/>
      <w:r w:rsidRPr="00C36B72">
        <w:rPr>
          <w:rFonts w:ascii="Arial" w:hAnsi="Arial" w:cs="Arial"/>
          <w:sz w:val="16"/>
          <w:szCs w:val="16"/>
        </w:rPr>
        <w:t xml:space="preserve"> a </w:t>
      </w:r>
      <w:proofErr w:type="spellStart"/>
      <w:r w:rsidRPr="00C36B72">
        <w:rPr>
          <w:rFonts w:ascii="Arial" w:hAnsi="Arial" w:cs="Arial"/>
          <w:sz w:val="16"/>
          <w:szCs w:val="16"/>
        </w:rPr>
        <w:t>fixed</w:t>
      </w:r>
      <w:proofErr w:type="spellEnd"/>
      <w:r w:rsidRPr="00C36B72">
        <w:rPr>
          <w:rFonts w:ascii="Arial" w:hAnsi="Arial" w:cs="Arial"/>
          <w:sz w:val="16"/>
          <w:szCs w:val="16"/>
        </w:rPr>
        <w:t xml:space="preserve"> </w:t>
      </w:r>
      <w:proofErr w:type="spellStart"/>
      <w:r w:rsidRPr="00C36B72">
        <w:rPr>
          <w:rFonts w:ascii="Arial" w:hAnsi="Arial" w:cs="Arial"/>
          <w:sz w:val="16"/>
          <w:szCs w:val="16"/>
        </w:rPr>
        <w:t>location</w:t>
      </w:r>
      <w:proofErr w:type="spellEnd"/>
      <w:r w:rsidRPr="00C36B72">
        <w:rPr>
          <w:rFonts w:ascii="Arial" w:hAnsi="Arial" w:cs="Arial"/>
          <w:sz w:val="16"/>
          <w:szCs w:val="16"/>
        </w:rPr>
        <w:t xml:space="preserve"> (market 3) in </w:t>
      </w:r>
      <w:proofErr w:type="spellStart"/>
      <w:r w:rsidRPr="00C36B72">
        <w:rPr>
          <w:rFonts w:ascii="Arial" w:hAnsi="Arial" w:cs="Arial"/>
          <w:sz w:val="16"/>
          <w:szCs w:val="16"/>
        </w:rPr>
        <w:t>the</w:t>
      </w:r>
      <w:proofErr w:type="spellEnd"/>
      <w:r w:rsidRPr="00C36B72">
        <w:rPr>
          <w:rFonts w:ascii="Arial" w:hAnsi="Arial" w:cs="Arial"/>
          <w:sz w:val="16"/>
          <w:szCs w:val="16"/>
        </w:rPr>
        <w:t xml:space="preserve"> Czech Republic, </w:t>
      </w:r>
      <w:proofErr w:type="spellStart"/>
      <w:proofErr w:type="gramStart"/>
      <w:r w:rsidRPr="00C36B72">
        <w:rPr>
          <w:rFonts w:ascii="Arial" w:hAnsi="Arial" w:cs="Arial"/>
          <w:sz w:val="16"/>
          <w:szCs w:val="16"/>
        </w:rPr>
        <w:t>BoR</w:t>
      </w:r>
      <w:proofErr w:type="spellEnd"/>
      <w:r w:rsidRPr="00C36B72">
        <w:rPr>
          <w:rFonts w:ascii="Arial" w:hAnsi="Arial" w:cs="Arial"/>
          <w:sz w:val="16"/>
          <w:szCs w:val="16"/>
        </w:rPr>
        <w:t>(13</w:t>
      </w:r>
      <w:proofErr w:type="gramEnd"/>
      <w:r w:rsidRPr="00C36B72">
        <w:rPr>
          <w:rFonts w:ascii="Arial" w:hAnsi="Arial" w:cs="Arial"/>
          <w:sz w:val="16"/>
          <w:szCs w:val="16"/>
        </w:rPr>
        <w:t>) 04.</w:t>
      </w:r>
    </w:p>
  </w:footnote>
  <w:footnote w:id="8">
    <w:p w:rsidR="009B71EA" w:rsidRPr="00BF48DC" w:rsidRDefault="009B71EA" w:rsidP="00BF48DC">
      <w:pPr>
        <w:pStyle w:val="Textpoznpodarou"/>
        <w:jc w:val="both"/>
        <w:rPr>
          <w:rFonts w:ascii="Arial" w:hAnsi="Arial" w:cs="Arial"/>
          <w:sz w:val="16"/>
          <w:szCs w:val="16"/>
        </w:rPr>
      </w:pPr>
      <w:r w:rsidRPr="00BF48DC">
        <w:rPr>
          <w:rStyle w:val="Znakapoznpodarou"/>
          <w:rFonts w:ascii="Arial" w:hAnsi="Arial" w:cs="Arial"/>
          <w:sz w:val="16"/>
          <w:szCs w:val="16"/>
        </w:rPr>
        <w:footnoteRef/>
      </w:r>
      <w:r w:rsidRPr="00BF48DC">
        <w:rPr>
          <w:rFonts w:ascii="Arial" w:hAnsi="Arial" w:cs="Arial"/>
          <w:sz w:val="16"/>
          <w:szCs w:val="16"/>
        </w:rPr>
        <w:t xml:space="preserve"> Rozhodnutím správního orgánu č. </w:t>
      </w:r>
      <w:hyperlink r:id="rId8" w:history="1">
        <w:r w:rsidRPr="00BF48DC">
          <w:rPr>
            <w:rStyle w:val="Hypertextovodkaz"/>
            <w:rFonts w:ascii="Arial" w:hAnsi="Arial" w:cs="Arial"/>
            <w:sz w:val="16"/>
            <w:szCs w:val="16"/>
          </w:rPr>
          <w:t>SMP/3/04.2010-49</w:t>
        </w:r>
      </w:hyperlink>
      <w:r>
        <w:rPr>
          <w:rFonts w:ascii="Arial" w:hAnsi="Arial" w:cs="Arial"/>
          <w:sz w:val="16"/>
          <w:szCs w:val="16"/>
        </w:rPr>
        <w:t xml:space="preserve"> z</w:t>
      </w:r>
      <w:r w:rsidRPr="00BF48DC">
        <w:rPr>
          <w:rFonts w:ascii="Arial" w:hAnsi="Arial" w:cs="Arial"/>
          <w:sz w:val="16"/>
          <w:szCs w:val="16"/>
        </w:rPr>
        <w:t xml:space="preserve"> 6. dubna 2010.</w:t>
      </w:r>
    </w:p>
  </w:footnote>
  <w:footnote w:id="9">
    <w:p w:rsidR="009B71EA" w:rsidRPr="007D2E70" w:rsidRDefault="009B71EA" w:rsidP="007D2E70">
      <w:pPr>
        <w:pStyle w:val="Textpoznpodarou"/>
        <w:jc w:val="both"/>
        <w:rPr>
          <w:rFonts w:ascii="Arial" w:hAnsi="Arial" w:cs="Arial"/>
          <w:sz w:val="16"/>
          <w:szCs w:val="16"/>
        </w:rPr>
      </w:pPr>
      <w:r w:rsidRPr="007D2E70">
        <w:rPr>
          <w:rStyle w:val="Znakapoznpodarou"/>
          <w:rFonts w:ascii="Arial" w:hAnsi="Arial" w:cs="Arial"/>
          <w:sz w:val="16"/>
          <w:szCs w:val="16"/>
        </w:rPr>
        <w:footnoteRef/>
      </w:r>
      <w:r w:rsidRPr="007D2E70">
        <w:rPr>
          <w:rFonts w:ascii="Arial" w:hAnsi="Arial" w:cs="Arial"/>
          <w:sz w:val="16"/>
          <w:szCs w:val="16"/>
        </w:rPr>
        <w:t xml:space="preserve"> č. </w:t>
      </w:r>
      <w:hyperlink r:id="rId9" w:history="1">
        <w:r w:rsidRPr="007D2E70">
          <w:rPr>
            <w:rStyle w:val="Hypertextovodkaz"/>
            <w:rFonts w:ascii="Arial" w:hAnsi="Arial" w:cs="Arial"/>
            <w:sz w:val="16"/>
            <w:szCs w:val="16"/>
          </w:rPr>
          <w:t>A/3/10.2009-13</w:t>
        </w:r>
      </w:hyperlink>
      <w:r w:rsidRPr="007D2E70">
        <w:rPr>
          <w:rFonts w:ascii="Arial" w:hAnsi="Arial" w:cs="Arial"/>
          <w:sz w:val="16"/>
          <w:szCs w:val="16"/>
        </w:rPr>
        <w:t xml:space="preserve"> z</w:t>
      </w:r>
      <w:r>
        <w:rPr>
          <w:rFonts w:ascii="Arial" w:hAnsi="Arial" w:cs="Arial"/>
          <w:sz w:val="16"/>
          <w:szCs w:val="16"/>
        </w:rPr>
        <w:t>e</w:t>
      </w:r>
      <w:r w:rsidRPr="007D2E70">
        <w:rPr>
          <w:rFonts w:ascii="Arial" w:hAnsi="Arial" w:cs="Arial"/>
          <w:sz w:val="16"/>
          <w:szCs w:val="16"/>
        </w:rPr>
        <w:t> 7. října 2009.</w:t>
      </w:r>
    </w:p>
  </w:footnote>
  <w:footnote w:id="10">
    <w:p w:rsidR="009B71EA" w:rsidRPr="00286875" w:rsidRDefault="009B71EA" w:rsidP="00286875">
      <w:pPr>
        <w:pStyle w:val="Textpoznpodarou"/>
        <w:jc w:val="both"/>
        <w:rPr>
          <w:rFonts w:ascii="Arial" w:hAnsi="Arial" w:cs="Arial"/>
          <w:sz w:val="16"/>
          <w:szCs w:val="16"/>
        </w:rPr>
      </w:pPr>
      <w:r w:rsidRPr="00286875">
        <w:rPr>
          <w:rStyle w:val="Znakapoznpodarou"/>
          <w:rFonts w:ascii="Arial" w:hAnsi="Arial" w:cs="Arial"/>
          <w:sz w:val="16"/>
          <w:szCs w:val="16"/>
        </w:rPr>
        <w:footnoteRef/>
      </w:r>
      <w:r w:rsidRPr="00286875">
        <w:rPr>
          <w:rFonts w:ascii="Arial" w:hAnsi="Arial" w:cs="Arial"/>
          <w:sz w:val="16"/>
          <w:szCs w:val="16"/>
        </w:rPr>
        <w:t xml:space="preserve"> Nákladový model, včetně uživatelské příručky a metodického popisu, byl na stránkách správního orgánu zveřejněn již v roce 2012.</w:t>
      </w:r>
    </w:p>
  </w:footnote>
  <w:footnote w:id="11">
    <w:p w:rsidR="009B71EA" w:rsidRPr="00167246" w:rsidRDefault="009B71EA" w:rsidP="00D951E3">
      <w:pPr>
        <w:pStyle w:val="Textpoznpodarou"/>
        <w:jc w:val="both"/>
        <w:rPr>
          <w:rFonts w:ascii="Arial" w:hAnsi="Arial" w:cs="Arial"/>
          <w:sz w:val="16"/>
          <w:szCs w:val="16"/>
        </w:rPr>
      </w:pPr>
      <w:r w:rsidRPr="00167246">
        <w:rPr>
          <w:rStyle w:val="Znakapoznpodarou"/>
          <w:rFonts w:ascii="Arial" w:hAnsi="Arial" w:cs="Arial"/>
          <w:sz w:val="16"/>
          <w:szCs w:val="16"/>
        </w:rPr>
        <w:footnoteRef/>
      </w:r>
      <w:r>
        <w:rPr>
          <w:rFonts w:ascii="Arial" w:hAnsi="Arial" w:cs="Arial"/>
          <w:sz w:val="16"/>
          <w:szCs w:val="16"/>
        </w:rPr>
        <w:t xml:space="preserve"> Viz</w:t>
      </w:r>
      <w:r w:rsidRPr="00167246">
        <w:rPr>
          <w:rFonts w:ascii="Arial" w:hAnsi="Arial" w:cs="Arial"/>
          <w:sz w:val="16"/>
          <w:szCs w:val="16"/>
        </w:rPr>
        <w:t xml:space="preserve"> </w:t>
      </w:r>
      <w:hyperlink r:id="rId10" w:history="1">
        <w:r w:rsidRPr="00167246">
          <w:rPr>
            <w:rStyle w:val="Hypertextovodkaz"/>
            <w:rFonts w:ascii="Arial" w:hAnsi="Arial" w:cs="Arial"/>
            <w:sz w:val="16"/>
            <w:szCs w:val="16"/>
          </w:rPr>
          <w:t>CEN/7/12.2012-7</w:t>
        </w:r>
      </w:hyperlink>
      <w:r w:rsidRPr="00167246">
        <w:rPr>
          <w:rFonts w:ascii="Arial" w:hAnsi="Arial" w:cs="Arial"/>
          <w:sz w:val="16"/>
          <w:szCs w:val="16"/>
        </w:rPr>
        <w:t xml:space="preserve">, </w:t>
      </w:r>
      <w:hyperlink r:id="rId11" w:history="1">
        <w:r w:rsidRPr="00167246">
          <w:rPr>
            <w:rStyle w:val="Hypertextovodkaz"/>
            <w:rFonts w:ascii="Arial" w:hAnsi="Arial" w:cs="Arial"/>
            <w:sz w:val="16"/>
            <w:szCs w:val="16"/>
          </w:rPr>
          <w:t>CEN/7/12.2012-5</w:t>
        </w:r>
      </w:hyperlink>
      <w:r w:rsidRPr="00167246">
        <w:rPr>
          <w:rFonts w:ascii="Arial" w:hAnsi="Arial" w:cs="Arial"/>
          <w:sz w:val="16"/>
          <w:szCs w:val="16"/>
        </w:rPr>
        <w:t xml:space="preserve">, </w:t>
      </w:r>
      <w:hyperlink r:id="rId12" w:history="1">
        <w:r w:rsidRPr="00167246">
          <w:rPr>
            <w:rStyle w:val="Hypertextovodkaz"/>
            <w:rFonts w:ascii="Arial" w:hAnsi="Arial" w:cs="Arial"/>
            <w:sz w:val="16"/>
            <w:szCs w:val="16"/>
          </w:rPr>
          <w:t>CEN/7/12.2012-6</w:t>
        </w:r>
      </w:hyperlink>
      <w:r w:rsidRPr="00167246">
        <w:rPr>
          <w:rFonts w:ascii="Arial" w:hAnsi="Arial" w:cs="Arial"/>
          <w:sz w:val="16"/>
          <w:szCs w:val="16"/>
        </w:rPr>
        <w:t xml:space="preserve"> nebo </w:t>
      </w:r>
      <w:hyperlink r:id="rId13" w:history="1">
        <w:r w:rsidRPr="00167246">
          <w:rPr>
            <w:rStyle w:val="Hypertextovodkaz"/>
            <w:rFonts w:ascii="Arial" w:hAnsi="Arial" w:cs="Arial"/>
            <w:sz w:val="16"/>
            <w:szCs w:val="16"/>
          </w:rPr>
          <w:t>CEN/4/06.2013-3</w:t>
        </w:r>
      </w:hyperlink>
      <w:r w:rsidRPr="00167246">
        <w:rPr>
          <w:rFonts w:ascii="Arial" w:hAnsi="Arial" w:cs="Arial"/>
          <w:sz w:val="16"/>
          <w:szCs w:val="16"/>
        </w:rPr>
        <w:t xml:space="preserve"> a </w:t>
      </w:r>
      <w:hyperlink r:id="rId14" w:history="1">
        <w:r w:rsidRPr="00167246">
          <w:rPr>
            <w:rStyle w:val="Hypertextovodkaz"/>
            <w:rFonts w:ascii="Arial" w:hAnsi="Arial" w:cs="Arial"/>
            <w:sz w:val="16"/>
            <w:szCs w:val="16"/>
          </w:rPr>
          <w:t>CEN/4/06.2012-1</w:t>
        </w:r>
      </w:hyperlink>
      <w:r w:rsidRPr="00167246">
        <w:rPr>
          <w:rFonts w:ascii="Arial" w:hAnsi="Arial" w:cs="Arial"/>
          <w:sz w:val="16"/>
          <w:szCs w:val="16"/>
        </w:rPr>
        <w:t xml:space="preserve">. </w:t>
      </w:r>
    </w:p>
  </w:footnote>
  <w:footnote w:id="12">
    <w:p w:rsidR="009B71EA" w:rsidRPr="00E0184F" w:rsidRDefault="009B71EA" w:rsidP="005E5098">
      <w:pPr>
        <w:pStyle w:val="Textpoznpodarou"/>
        <w:jc w:val="both"/>
        <w:rPr>
          <w:rFonts w:ascii="Arial" w:hAnsi="Arial" w:cs="Arial"/>
          <w:sz w:val="16"/>
          <w:szCs w:val="16"/>
        </w:rPr>
      </w:pPr>
      <w:r w:rsidRPr="00E0184F">
        <w:rPr>
          <w:rStyle w:val="Znakapoznpodarou"/>
          <w:rFonts w:ascii="Arial" w:hAnsi="Arial" w:cs="Arial"/>
          <w:sz w:val="16"/>
          <w:szCs w:val="16"/>
        </w:rPr>
        <w:footnoteRef/>
      </w:r>
      <w:r w:rsidRPr="00E0184F">
        <w:rPr>
          <w:rFonts w:ascii="Arial" w:hAnsi="Arial"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13">
    <w:p w:rsidR="009B71EA" w:rsidRPr="00F503B8" w:rsidRDefault="009B71EA" w:rsidP="005E5098">
      <w:pPr>
        <w:pStyle w:val="Textpoznpodarou"/>
        <w:jc w:val="both"/>
        <w:rPr>
          <w:rFonts w:ascii="Arial" w:hAnsi="Arial" w:cs="Arial"/>
          <w:sz w:val="16"/>
          <w:szCs w:val="16"/>
        </w:rPr>
      </w:pPr>
      <w:r w:rsidRPr="00F503B8">
        <w:rPr>
          <w:rStyle w:val="Znakapoznpodarou"/>
          <w:rFonts w:ascii="Arial" w:hAnsi="Arial" w:cs="Arial"/>
          <w:sz w:val="16"/>
          <w:szCs w:val="16"/>
        </w:rPr>
        <w:footnoteRef/>
      </w:r>
      <w:r w:rsidRPr="00F503B8">
        <w:rPr>
          <w:rFonts w:ascii="Arial" w:hAnsi="Arial" w:cs="Arial"/>
          <w:sz w:val="16"/>
          <w:szCs w:val="16"/>
        </w:rPr>
        <w:t xml:space="preserve"> Viz např. čl. 2 odst. 2 písm. d) a e) </w:t>
      </w:r>
      <w:hyperlink r:id="rId15" w:history="1">
        <w:r w:rsidRPr="00F2627B">
          <w:rPr>
            <w:rStyle w:val="Hypertextovodkaz"/>
            <w:rFonts w:ascii="Arial" w:hAnsi="Arial" w:cs="Arial"/>
            <w:sz w:val="16"/>
            <w:szCs w:val="16"/>
          </w:rPr>
          <w:t>Nařízení</w:t>
        </w:r>
      </w:hyperlink>
      <w:r w:rsidRPr="00F503B8">
        <w:rPr>
          <w:rFonts w:ascii="Arial" w:hAnsi="Arial" w:cs="Arial"/>
          <w:sz w:val="16"/>
          <w:szCs w:val="16"/>
        </w:rPr>
        <w:t xml:space="preserve"> Evropského Parlamentu a Rady (EU) ze dne 13. června 2012 o roamingu ve veřejných mob</w:t>
      </w:r>
      <w:bookmarkStart w:id="0" w:name="_GoBack"/>
      <w:bookmarkEnd w:id="0"/>
      <w:r w:rsidRPr="00F503B8">
        <w:rPr>
          <w:rFonts w:ascii="Arial" w:hAnsi="Arial" w:cs="Arial"/>
          <w:sz w:val="16"/>
          <w:szCs w:val="16"/>
        </w:rPr>
        <w:t>ilních komunikačních sítích v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A" w:rsidRPr="00932253" w:rsidRDefault="009B71EA" w:rsidP="00932253">
    <w:pPr>
      <w:pStyle w:val="Zhlav"/>
      <w:jc w:val="center"/>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4AD"/>
    <w:multiLevelType w:val="hybridMultilevel"/>
    <w:tmpl w:val="76B43F0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B4DC0"/>
    <w:multiLevelType w:val="singleLevel"/>
    <w:tmpl w:val="3A9A837A"/>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F57FDA"/>
    <w:multiLevelType w:val="hybridMultilevel"/>
    <w:tmpl w:val="585C4CEA"/>
    <w:lvl w:ilvl="0" w:tplc="20887E26">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5F3EDD"/>
    <w:multiLevelType w:val="multilevel"/>
    <w:tmpl w:val="1A66020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39C44923"/>
    <w:multiLevelType w:val="hybridMultilevel"/>
    <w:tmpl w:val="E16C7300"/>
    <w:lvl w:ilvl="0" w:tplc="134E1C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B30B07"/>
    <w:multiLevelType w:val="hybridMultilevel"/>
    <w:tmpl w:val="7994C0F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C14843"/>
    <w:multiLevelType w:val="singleLevel"/>
    <w:tmpl w:val="47169C52"/>
    <w:lvl w:ilvl="0">
      <w:start w:val="102"/>
      <w:numFmt w:val="bullet"/>
      <w:lvlText w:val="-"/>
      <w:lvlJc w:val="left"/>
      <w:pPr>
        <w:tabs>
          <w:tab w:val="num" w:pos="720"/>
        </w:tabs>
        <w:ind w:left="720" w:hanging="360"/>
      </w:pPr>
      <w:rPr>
        <w:rFonts w:hint="default"/>
      </w:rPr>
    </w:lvl>
  </w:abstractNum>
  <w:abstractNum w:abstractNumId="7">
    <w:nsid w:val="518A5B78"/>
    <w:multiLevelType w:val="singleLevel"/>
    <w:tmpl w:val="1834E988"/>
    <w:lvl w:ilvl="0">
      <w:start w:val="1"/>
      <w:numFmt w:val="decimal"/>
      <w:lvlText w:val="1.%1."/>
      <w:lvlJc w:val="left"/>
      <w:pPr>
        <w:tabs>
          <w:tab w:val="num" w:pos="454"/>
        </w:tabs>
        <w:ind w:left="454" w:hanging="454"/>
      </w:pPr>
      <w:rPr>
        <w:b w:val="0"/>
        <w:i w:val="0"/>
      </w:rPr>
    </w:lvl>
  </w:abstractNum>
  <w:abstractNum w:abstractNumId="8">
    <w:nsid w:val="5A77509B"/>
    <w:multiLevelType w:val="hybridMultilevel"/>
    <w:tmpl w:val="B36CB86E"/>
    <w:lvl w:ilvl="0" w:tplc="8894F65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9C57AE"/>
    <w:multiLevelType w:val="multilevel"/>
    <w:tmpl w:val="C0C4AFD4"/>
    <w:lvl w:ilvl="0">
      <w:start w:val="1"/>
      <w:numFmt w:val="decimal"/>
      <w:lvlText w:val="(%1)"/>
      <w:lvlJc w:val="left"/>
      <w:pPr>
        <w:tabs>
          <w:tab w:val="num" w:pos="641"/>
        </w:tabs>
        <w:ind w:left="-283" w:firstLine="567"/>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D367E1D"/>
    <w:multiLevelType w:val="singleLevel"/>
    <w:tmpl w:val="5A9EBC50"/>
    <w:lvl w:ilvl="0">
      <w:start w:val="102"/>
      <w:numFmt w:val="bullet"/>
      <w:lvlText w:val="-"/>
      <w:lvlJc w:val="left"/>
      <w:pPr>
        <w:tabs>
          <w:tab w:val="num" w:pos="700"/>
        </w:tabs>
        <w:ind w:left="680" w:hanging="340"/>
      </w:pPr>
      <w:rPr>
        <w:rFonts w:hint="default"/>
      </w:rPr>
    </w:lvl>
  </w:abstractNum>
  <w:abstractNum w:abstractNumId="11">
    <w:nsid w:val="75324F0A"/>
    <w:multiLevelType w:val="singleLevel"/>
    <w:tmpl w:val="041C0BB2"/>
    <w:lvl w:ilvl="0">
      <w:start w:val="102"/>
      <w:numFmt w:val="bullet"/>
      <w:lvlText w:val="-"/>
      <w:lvlJc w:val="left"/>
      <w:pPr>
        <w:tabs>
          <w:tab w:val="num" w:pos="1040"/>
        </w:tabs>
        <w:ind w:left="1021" w:hanging="341"/>
      </w:pPr>
      <w:rPr>
        <w:rFonts w:hint="default"/>
      </w:rPr>
    </w:lvl>
  </w:abstractNum>
  <w:num w:numId="1">
    <w:abstractNumId w:val="3"/>
  </w:num>
  <w:num w:numId="2">
    <w:abstractNumId w:val="7"/>
  </w:num>
  <w:num w:numId="3">
    <w:abstractNumId w:val="1"/>
  </w:num>
  <w:num w:numId="4">
    <w:abstractNumId w:val="6"/>
  </w:num>
  <w:num w:numId="5">
    <w:abstractNumId w:val="10"/>
  </w:num>
  <w:num w:numId="6">
    <w:abstractNumId w:val="11"/>
  </w:num>
  <w:num w:numId="7">
    <w:abstractNumId w:val="9"/>
  </w:num>
  <w:num w:numId="8">
    <w:abstractNumId w:val="4"/>
  </w:num>
  <w:num w:numId="9">
    <w:abstractNumId w:val="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0"/>
    <w:rsid w:val="000047F5"/>
    <w:rsid w:val="0001021C"/>
    <w:rsid w:val="00012D18"/>
    <w:rsid w:val="00017B36"/>
    <w:rsid w:val="0002480D"/>
    <w:rsid w:val="00026842"/>
    <w:rsid w:val="00030EEF"/>
    <w:rsid w:val="00034A68"/>
    <w:rsid w:val="000366E8"/>
    <w:rsid w:val="000442F6"/>
    <w:rsid w:val="00045355"/>
    <w:rsid w:val="00045DCE"/>
    <w:rsid w:val="000460F5"/>
    <w:rsid w:val="0004687E"/>
    <w:rsid w:val="00046E99"/>
    <w:rsid w:val="0004734B"/>
    <w:rsid w:val="000519F6"/>
    <w:rsid w:val="0005215A"/>
    <w:rsid w:val="00055D81"/>
    <w:rsid w:val="000563D1"/>
    <w:rsid w:val="0005780F"/>
    <w:rsid w:val="00060FFC"/>
    <w:rsid w:val="00065EB2"/>
    <w:rsid w:val="00065F2A"/>
    <w:rsid w:val="00066674"/>
    <w:rsid w:val="00067A75"/>
    <w:rsid w:val="000726AE"/>
    <w:rsid w:val="00072941"/>
    <w:rsid w:val="00072A8D"/>
    <w:rsid w:val="000753F6"/>
    <w:rsid w:val="00075528"/>
    <w:rsid w:val="00075C12"/>
    <w:rsid w:val="0007787C"/>
    <w:rsid w:val="0008246F"/>
    <w:rsid w:val="000847C0"/>
    <w:rsid w:val="00085675"/>
    <w:rsid w:val="00085B99"/>
    <w:rsid w:val="00087559"/>
    <w:rsid w:val="00090CB7"/>
    <w:rsid w:val="00090F88"/>
    <w:rsid w:val="00094376"/>
    <w:rsid w:val="00094D42"/>
    <w:rsid w:val="000A1240"/>
    <w:rsid w:val="000A7CD0"/>
    <w:rsid w:val="000B05F5"/>
    <w:rsid w:val="000B0BD0"/>
    <w:rsid w:val="000B131A"/>
    <w:rsid w:val="000B1CCA"/>
    <w:rsid w:val="000B3235"/>
    <w:rsid w:val="000B3789"/>
    <w:rsid w:val="000B435F"/>
    <w:rsid w:val="000B6ACA"/>
    <w:rsid w:val="000B7411"/>
    <w:rsid w:val="000B7EA3"/>
    <w:rsid w:val="000C1B75"/>
    <w:rsid w:val="000C2431"/>
    <w:rsid w:val="000C6D52"/>
    <w:rsid w:val="000C7B1F"/>
    <w:rsid w:val="000D1279"/>
    <w:rsid w:val="000D168A"/>
    <w:rsid w:val="000D3C3A"/>
    <w:rsid w:val="000D56B8"/>
    <w:rsid w:val="000D58AB"/>
    <w:rsid w:val="000D6B70"/>
    <w:rsid w:val="000D6FC3"/>
    <w:rsid w:val="000D7097"/>
    <w:rsid w:val="000E1054"/>
    <w:rsid w:val="000E3A9D"/>
    <w:rsid w:val="000E48DC"/>
    <w:rsid w:val="000E5A46"/>
    <w:rsid w:val="000E72E1"/>
    <w:rsid w:val="000F2F35"/>
    <w:rsid w:val="000F3B79"/>
    <w:rsid w:val="000F4BA5"/>
    <w:rsid w:val="001028C1"/>
    <w:rsid w:val="00104D6D"/>
    <w:rsid w:val="00105200"/>
    <w:rsid w:val="00106548"/>
    <w:rsid w:val="00106E98"/>
    <w:rsid w:val="00111D31"/>
    <w:rsid w:val="00114B3A"/>
    <w:rsid w:val="0011556A"/>
    <w:rsid w:val="00120905"/>
    <w:rsid w:val="00126C3E"/>
    <w:rsid w:val="00142248"/>
    <w:rsid w:val="00146EA5"/>
    <w:rsid w:val="00151E4F"/>
    <w:rsid w:val="00154B77"/>
    <w:rsid w:val="0015541A"/>
    <w:rsid w:val="001609E4"/>
    <w:rsid w:val="00162254"/>
    <w:rsid w:val="0016556E"/>
    <w:rsid w:val="0017556F"/>
    <w:rsid w:val="001767D0"/>
    <w:rsid w:val="00180F30"/>
    <w:rsid w:val="0018253C"/>
    <w:rsid w:val="00182DA4"/>
    <w:rsid w:val="001848C3"/>
    <w:rsid w:val="00187A9F"/>
    <w:rsid w:val="00190D1C"/>
    <w:rsid w:val="00191838"/>
    <w:rsid w:val="00191ECE"/>
    <w:rsid w:val="00192C15"/>
    <w:rsid w:val="00195A81"/>
    <w:rsid w:val="001A68B9"/>
    <w:rsid w:val="001A68F1"/>
    <w:rsid w:val="001A7621"/>
    <w:rsid w:val="001B10FB"/>
    <w:rsid w:val="001B1211"/>
    <w:rsid w:val="001B352B"/>
    <w:rsid w:val="001B56C6"/>
    <w:rsid w:val="001B643F"/>
    <w:rsid w:val="001C0183"/>
    <w:rsid w:val="001C0924"/>
    <w:rsid w:val="001C6D2F"/>
    <w:rsid w:val="001D150F"/>
    <w:rsid w:val="001D287E"/>
    <w:rsid w:val="001D5727"/>
    <w:rsid w:val="001D585C"/>
    <w:rsid w:val="001D7B86"/>
    <w:rsid w:val="001E168D"/>
    <w:rsid w:val="001E534B"/>
    <w:rsid w:val="001E6D1A"/>
    <w:rsid w:val="001F213E"/>
    <w:rsid w:val="001F47A1"/>
    <w:rsid w:val="001F496B"/>
    <w:rsid w:val="001F6593"/>
    <w:rsid w:val="001F74AA"/>
    <w:rsid w:val="00201C8C"/>
    <w:rsid w:val="00202419"/>
    <w:rsid w:val="00202B21"/>
    <w:rsid w:val="002100D4"/>
    <w:rsid w:val="00212666"/>
    <w:rsid w:val="0021449B"/>
    <w:rsid w:val="00217F5F"/>
    <w:rsid w:val="0022010D"/>
    <w:rsid w:val="0022575D"/>
    <w:rsid w:val="00227C87"/>
    <w:rsid w:val="00230D5E"/>
    <w:rsid w:val="0023153B"/>
    <w:rsid w:val="00232BAB"/>
    <w:rsid w:val="00234512"/>
    <w:rsid w:val="002368C8"/>
    <w:rsid w:val="00237A43"/>
    <w:rsid w:val="00240BA6"/>
    <w:rsid w:val="00241A80"/>
    <w:rsid w:val="002430E0"/>
    <w:rsid w:val="00244B97"/>
    <w:rsid w:val="0024684B"/>
    <w:rsid w:val="002511BA"/>
    <w:rsid w:val="00252BBB"/>
    <w:rsid w:val="00252C58"/>
    <w:rsid w:val="00255DE6"/>
    <w:rsid w:val="00263AD7"/>
    <w:rsid w:val="00265272"/>
    <w:rsid w:val="00265646"/>
    <w:rsid w:val="00265E06"/>
    <w:rsid w:val="00266039"/>
    <w:rsid w:val="00272B08"/>
    <w:rsid w:val="0027416F"/>
    <w:rsid w:val="0027488C"/>
    <w:rsid w:val="00276C6C"/>
    <w:rsid w:val="00284F0F"/>
    <w:rsid w:val="00285D1F"/>
    <w:rsid w:val="00286875"/>
    <w:rsid w:val="00292580"/>
    <w:rsid w:val="00294224"/>
    <w:rsid w:val="0029507C"/>
    <w:rsid w:val="002978AF"/>
    <w:rsid w:val="002A3350"/>
    <w:rsid w:val="002A7E44"/>
    <w:rsid w:val="002B3A9D"/>
    <w:rsid w:val="002B59D0"/>
    <w:rsid w:val="002B6C09"/>
    <w:rsid w:val="002C5BCA"/>
    <w:rsid w:val="002D1CEF"/>
    <w:rsid w:val="002D3052"/>
    <w:rsid w:val="002D3CF2"/>
    <w:rsid w:val="002D5114"/>
    <w:rsid w:val="002E2062"/>
    <w:rsid w:val="002E72CD"/>
    <w:rsid w:val="002E7CDC"/>
    <w:rsid w:val="002F0809"/>
    <w:rsid w:val="002F2EF8"/>
    <w:rsid w:val="002F5D8F"/>
    <w:rsid w:val="002F6262"/>
    <w:rsid w:val="002F6C16"/>
    <w:rsid w:val="0030122D"/>
    <w:rsid w:val="00314905"/>
    <w:rsid w:val="00316583"/>
    <w:rsid w:val="00323278"/>
    <w:rsid w:val="003309EA"/>
    <w:rsid w:val="00332037"/>
    <w:rsid w:val="00336496"/>
    <w:rsid w:val="00336856"/>
    <w:rsid w:val="003377E4"/>
    <w:rsid w:val="00337C50"/>
    <w:rsid w:val="00341838"/>
    <w:rsid w:val="0034594A"/>
    <w:rsid w:val="003539CC"/>
    <w:rsid w:val="003539E5"/>
    <w:rsid w:val="00354ED0"/>
    <w:rsid w:val="003562AD"/>
    <w:rsid w:val="00356503"/>
    <w:rsid w:val="00363B3C"/>
    <w:rsid w:val="00364947"/>
    <w:rsid w:val="00365FED"/>
    <w:rsid w:val="00366637"/>
    <w:rsid w:val="00366F62"/>
    <w:rsid w:val="00367E25"/>
    <w:rsid w:val="00370EE5"/>
    <w:rsid w:val="00372984"/>
    <w:rsid w:val="0037437B"/>
    <w:rsid w:val="00374FEA"/>
    <w:rsid w:val="003762F6"/>
    <w:rsid w:val="00376A3D"/>
    <w:rsid w:val="00377F6F"/>
    <w:rsid w:val="003841C7"/>
    <w:rsid w:val="00384304"/>
    <w:rsid w:val="003843AC"/>
    <w:rsid w:val="003923ED"/>
    <w:rsid w:val="003934E6"/>
    <w:rsid w:val="0039458A"/>
    <w:rsid w:val="00396870"/>
    <w:rsid w:val="00397171"/>
    <w:rsid w:val="003A1CAA"/>
    <w:rsid w:val="003A227D"/>
    <w:rsid w:val="003A42A1"/>
    <w:rsid w:val="003A6449"/>
    <w:rsid w:val="003A64A6"/>
    <w:rsid w:val="003A7620"/>
    <w:rsid w:val="003B5DA2"/>
    <w:rsid w:val="003B5F80"/>
    <w:rsid w:val="003B7EDA"/>
    <w:rsid w:val="003C0709"/>
    <w:rsid w:val="003C0FE3"/>
    <w:rsid w:val="003C1E19"/>
    <w:rsid w:val="003C3DCF"/>
    <w:rsid w:val="003C44AA"/>
    <w:rsid w:val="003C7AF7"/>
    <w:rsid w:val="003D5EE0"/>
    <w:rsid w:val="003D6AB7"/>
    <w:rsid w:val="003E3469"/>
    <w:rsid w:val="003F7942"/>
    <w:rsid w:val="00402DFD"/>
    <w:rsid w:val="00406373"/>
    <w:rsid w:val="0040767E"/>
    <w:rsid w:val="004113C2"/>
    <w:rsid w:val="00412D40"/>
    <w:rsid w:val="004223BC"/>
    <w:rsid w:val="0042268F"/>
    <w:rsid w:val="00422813"/>
    <w:rsid w:val="00425DB7"/>
    <w:rsid w:val="0042611E"/>
    <w:rsid w:val="00430FAD"/>
    <w:rsid w:val="00431C15"/>
    <w:rsid w:val="004336C0"/>
    <w:rsid w:val="004336E5"/>
    <w:rsid w:val="0044688A"/>
    <w:rsid w:val="00446B90"/>
    <w:rsid w:val="00450255"/>
    <w:rsid w:val="0045497D"/>
    <w:rsid w:val="00455D90"/>
    <w:rsid w:val="00457805"/>
    <w:rsid w:val="0046321A"/>
    <w:rsid w:val="00464848"/>
    <w:rsid w:val="0046513D"/>
    <w:rsid w:val="00467080"/>
    <w:rsid w:val="0047050F"/>
    <w:rsid w:val="004725F5"/>
    <w:rsid w:val="00473854"/>
    <w:rsid w:val="00474659"/>
    <w:rsid w:val="00474FB3"/>
    <w:rsid w:val="0047706F"/>
    <w:rsid w:val="00477C57"/>
    <w:rsid w:val="00480EA2"/>
    <w:rsid w:val="004814BB"/>
    <w:rsid w:val="00482780"/>
    <w:rsid w:val="00486B1F"/>
    <w:rsid w:val="0049002A"/>
    <w:rsid w:val="0049324F"/>
    <w:rsid w:val="0049356F"/>
    <w:rsid w:val="00494D7C"/>
    <w:rsid w:val="00496304"/>
    <w:rsid w:val="00497BCF"/>
    <w:rsid w:val="004A2D0A"/>
    <w:rsid w:val="004A50DE"/>
    <w:rsid w:val="004B1F23"/>
    <w:rsid w:val="004B6F34"/>
    <w:rsid w:val="004C0D4B"/>
    <w:rsid w:val="004C1862"/>
    <w:rsid w:val="004C1CAB"/>
    <w:rsid w:val="004D200C"/>
    <w:rsid w:val="004D3611"/>
    <w:rsid w:val="004D3F45"/>
    <w:rsid w:val="004D4A90"/>
    <w:rsid w:val="004D531A"/>
    <w:rsid w:val="004D719F"/>
    <w:rsid w:val="004E2402"/>
    <w:rsid w:val="004E29F2"/>
    <w:rsid w:val="004E5A0B"/>
    <w:rsid w:val="004E6645"/>
    <w:rsid w:val="004E75CF"/>
    <w:rsid w:val="004E7F05"/>
    <w:rsid w:val="004F0D90"/>
    <w:rsid w:val="004F331E"/>
    <w:rsid w:val="004F34EC"/>
    <w:rsid w:val="004F6067"/>
    <w:rsid w:val="0050098F"/>
    <w:rsid w:val="00501448"/>
    <w:rsid w:val="00504C3E"/>
    <w:rsid w:val="00507195"/>
    <w:rsid w:val="00507630"/>
    <w:rsid w:val="00513BDF"/>
    <w:rsid w:val="00520EE1"/>
    <w:rsid w:val="00527604"/>
    <w:rsid w:val="00530039"/>
    <w:rsid w:val="005439EC"/>
    <w:rsid w:val="00543C0A"/>
    <w:rsid w:val="00545307"/>
    <w:rsid w:val="00547DA5"/>
    <w:rsid w:val="00553979"/>
    <w:rsid w:val="00556FE0"/>
    <w:rsid w:val="005572AC"/>
    <w:rsid w:val="00557DDC"/>
    <w:rsid w:val="005628DE"/>
    <w:rsid w:val="005645E1"/>
    <w:rsid w:val="005655A8"/>
    <w:rsid w:val="00567DAB"/>
    <w:rsid w:val="00571E04"/>
    <w:rsid w:val="00572D60"/>
    <w:rsid w:val="00587ED7"/>
    <w:rsid w:val="00590E4B"/>
    <w:rsid w:val="005914CC"/>
    <w:rsid w:val="00592962"/>
    <w:rsid w:val="00594CF0"/>
    <w:rsid w:val="0059504B"/>
    <w:rsid w:val="005961F1"/>
    <w:rsid w:val="00596998"/>
    <w:rsid w:val="005A0D32"/>
    <w:rsid w:val="005A0E07"/>
    <w:rsid w:val="005A4BE5"/>
    <w:rsid w:val="005A7C9D"/>
    <w:rsid w:val="005A7F94"/>
    <w:rsid w:val="005B03CF"/>
    <w:rsid w:val="005B23BE"/>
    <w:rsid w:val="005B36BD"/>
    <w:rsid w:val="005B3B60"/>
    <w:rsid w:val="005B4DAD"/>
    <w:rsid w:val="005B6CC6"/>
    <w:rsid w:val="005C011E"/>
    <w:rsid w:val="005C22E5"/>
    <w:rsid w:val="005D5225"/>
    <w:rsid w:val="005D7008"/>
    <w:rsid w:val="005E03DB"/>
    <w:rsid w:val="005E5098"/>
    <w:rsid w:val="005E7321"/>
    <w:rsid w:val="005F09DE"/>
    <w:rsid w:val="005F578F"/>
    <w:rsid w:val="006014CA"/>
    <w:rsid w:val="00610786"/>
    <w:rsid w:val="006109C3"/>
    <w:rsid w:val="00612572"/>
    <w:rsid w:val="00614BF2"/>
    <w:rsid w:val="00617107"/>
    <w:rsid w:val="00624189"/>
    <w:rsid w:val="00627118"/>
    <w:rsid w:val="0063123C"/>
    <w:rsid w:val="00631B53"/>
    <w:rsid w:val="0063350B"/>
    <w:rsid w:val="0063591C"/>
    <w:rsid w:val="00640DC6"/>
    <w:rsid w:val="00640F70"/>
    <w:rsid w:val="006446C1"/>
    <w:rsid w:val="00657479"/>
    <w:rsid w:val="006603F4"/>
    <w:rsid w:val="00660849"/>
    <w:rsid w:val="00660F07"/>
    <w:rsid w:val="006614C7"/>
    <w:rsid w:val="006650F1"/>
    <w:rsid w:val="00665F72"/>
    <w:rsid w:val="006723B9"/>
    <w:rsid w:val="00682A04"/>
    <w:rsid w:val="006841F9"/>
    <w:rsid w:val="00685841"/>
    <w:rsid w:val="00687BB6"/>
    <w:rsid w:val="006906E4"/>
    <w:rsid w:val="0069178F"/>
    <w:rsid w:val="00695E52"/>
    <w:rsid w:val="006975AC"/>
    <w:rsid w:val="006A42B1"/>
    <w:rsid w:val="006A4A98"/>
    <w:rsid w:val="006A5464"/>
    <w:rsid w:val="006A59AA"/>
    <w:rsid w:val="006B096C"/>
    <w:rsid w:val="006B1E7C"/>
    <w:rsid w:val="006B539F"/>
    <w:rsid w:val="006B6B01"/>
    <w:rsid w:val="006B7AA2"/>
    <w:rsid w:val="006C2091"/>
    <w:rsid w:val="006C2115"/>
    <w:rsid w:val="006C264B"/>
    <w:rsid w:val="006C516B"/>
    <w:rsid w:val="006D08C4"/>
    <w:rsid w:val="006D15C3"/>
    <w:rsid w:val="006D4402"/>
    <w:rsid w:val="006D5720"/>
    <w:rsid w:val="006D7B01"/>
    <w:rsid w:val="006D7C1A"/>
    <w:rsid w:val="006E0E06"/>
    <w:rsid w:val="006E1243"/>
    <w:rsid w:val="006E2E2F"/>
    <w:rsid w:val="006E372B"/>
    <w:rsid w:val="006E3C55"/>
    <w:rsid w:val="006E556D"/>
    <w:rsid w:val="006E70D1"/>
    <w:rsid w:val="006F01CC"/>
    <w:rsid w:val="006F29EE"/>
    <w:rsid w:val="006F4569"/>
    <w:rsid w:val="006F5F45"/>
    <w:rsid w:val="00700169"/>
    <w:rsid w:val="0070217E"/>
    <w:rsid w:val="00704426"/>
    <w:rsid w:val="00705C6E"/>
    <w:rsid w:val="00713F11"/>
    <w:rsid w:val="007156F8"/>
    <w:rsid w:val="0072729B"/>
    <w:rsid w:val="007408DE"/>
    <w:rsid w:val="00743944"/>
    <w:rsid w:val="00745907"/>
    <w:rsid w:val="00751DF0"/>
    <w:rsid w:val="00752FC1"/>
    <w:rsid w:val="007538B3"/>
    <w:rsid w:val="007645EA"/>
    <w:rsid w:val="007665A7"/>
    <w:rsid w:val="00766B24"/>
    <w:rsid w:val="00767D51"/>
    <w:rsid w:val="007711AE"/>
    <w:rsid w:val="00771B16"/>
    <w:rsid w:val="00771B75"/>
    <w:rsid w:val="00772E16"/>
    <w:rsid w:val="00772F60"/>
    <w:rsid w:val="00773798"/>
    <w:rsid w:val="007777AC"/>
    <w:rsid w:val="00777B24"/>
    <w:rsid w:val="00781042"/>
    <w:rsid w:val="00781137"/>
    <w:rsid w:val="00782A2D"/>
    <w:rsid w:val="00792143"/>
    <w:rsid w:val="0079226E"/>
    <w:rsid w:val="00793FFB"/>
    <w:rsid w:val="00795908"/>
    <w:rsid w:val="00797F74"/>
    <w:rsid w:val="007A0CFE"/>
    <w:rsid w:val="007A298A"/>
    <w:rsid w:val="007A5D36"/>
    <w:rsid w:val="007A5E4B"/>
    <w:rsid w:val="007A661C"/>
    <w:rsid w:val="007A7BE7"/>
    <w:rsid w:val="007B0565"/>
    <w:rsid w:val="007B13DD"/>
    <w:rsid w:val="007B18F9"/>
    <w:rsid w:val="007B1BA8"/>
    <w:rsid w:val="007B1E7B"/>
    <w:rsid w:val="007B2B4D"/>
    <w:rsid w:val="007B47F0"/>
    <w:rsid w:val="007B4B6C"/>
    <w:rsid w:val="007B7136"/>
    <w:rsid w:val="007C0CCF"/>
    <w:rsid w:val="007C3502"/>
    <w:rsid w:val="007C3A75"/>
    <w:rsid w:val="007C47DE"/>
    <w:rsid w:val="007C581C"/>
    <w:rsid w:val="007C6978"/>
    <w:rsid w:val="007C7825"/>
    <w:rsid w:val="007D2E70"/>
    <w:rsid w:val="007D3ACC"/>
    <w:rsid w:val="007D41F7"/>
    <w:rsid w:val="007E0B40"/>
    <w:rsid w:val="007E13E9"/>
    <w:rsid w:val="007E2194"/>
    <w:rsid w:val="007E2E3D"/>
    <w:rsid w:val="007E49DF"/>
    <w:rsid w:val="007E644E"/>
    <w:rsid w:val="007E6D3E"/>
    <w:rsid w:val="007E791D"/>
    <w:rsid w:val="007F00B9"/>
    <w:rsid w:val="007F1D03"/>
    <w:rsid w:val="007F3D28"/>
    <w:rsid w:val="007F40AB"/>
    <w:rsid w:val="007F49CA"/>
    <w:rsid w:val="007F6FDA"/>
    <w:rsid w:val="00801243"/>
    <w:rsid w:val="008073E6"/>
    <w:rsid w:val="00807AC5"/>
    <w:rsid w:val="00810EAC"/>
    <w:rsid w:val="00814669"/>
    <w:rsid w:val="00814B66"/>
    <w:rsid w:val="00815D78"/>
    <w:rsid w:val="008168C5"/>
    <w:rsid w:val="008171B8"/>
    <w:rsid w:val="00817B47"/>
    <w:rsid w:val="00821728"/>
    <w:rsid w:val="00825BD8"/>
    <w:rsid w:val="008277BD"/>
    <w:rsid w:val="00832784"/>
    <w:rsid w:val="00832946"/>
    <w:rsid w:val="00834720"/>
    <w:rsid w:val="00837DEF"/>
    <w:rsid w:val="008405C5"/>
    <w:rsid w:val="00840B8F"/>
    <w:rsid w:val="008421B9"/>
    <w:rsid w:val="008459A9"/>
    <w:rsid w:val="0085695A"/>
    <w:rsid w:val="008574A2"/>
    <w:rsid w:val="00862081"/>
    <w:rsid w:val="00863CEB"/>
    <w:rsid w:val="00871180"/>
    <w:rsid w:val="008736F2"/>
    <w:rsid w:val="00874D12"/>
    <w:rsid w:val="00875C9D"/>
    <w:rsid w:val="0088483B"/>
    <w:rsid w:val="008852E6"/>
    <w:rsid w:val="00886EC4"/>
    <w:rsid w:val="00892A8B"/>
    <w:rsid w:val="00894DC0"/>
    <w:rsid w:val="00896C89"/>
    <w:rsid w:val="008A2B8F"/>
    <w:rsid w:val="008A5448"/>
    <w:rsid w:val="008A5582"/>
    <w:rsid w:val="008A77DA"/>
    <w:rsid w:val="008B4E9A"/>
    <w:rsid w:val="008B7F77"/>
    <w:rsid w:val="008C0711"/>
    <w:rsid w:val="008C1270"/>
    <w:rsid w:val="008C2AA4"/>
    <w:rsid w:val="008C2FCC"/>
    <w:rsid w:val="008C69B1"/>
    <w:rsid w:val="008D2314"/>
    <w:rsid w:val="008E126C"/>
    <w:rsid w:val="008E3869"/>
    <w:rsid w:val="008E3B2C"/>
    <w:rsid w:val="008E4CED"/>
    <w:rsid w:val="008F440B"/>
    <w:rsid w:val="008F45C5"/>
    <w:rsid w:val="009006A9"/>
    <w:rsid w:val="0090168A"/>
    <w:rsid w:val="009020B5"/>
    <w:rsid w:val="00903DFF"/>
    <w:rsid w:val="00904C3B"/>
    <w:rsid w:val="00905285"/>
    <w:rsid w:val="00905C29"/>
    <w:rsid w:val="00906576"/>
    <w:rsid w:val="00910453"/>
    <w:rsid w:val="00911361"/>
    <w:rsid w:val="00912678"/>
    <w:rsid w:val="009155EC"/>
    <w:rsid w:val="00917FED"/>
    <w:rsid w:val="0092027A"/>
    <w:rsid w:val="00920333"/>
    <w:rsid w:val="0092074B"/>
    <w:rsid w:val="00920E2B"/>
    <w:rsid w:val="00932253"/>
    <w:rsid w:val="0093374D"/>
    <w:rsid w:val="0093538C"/>
    <w:rsid w:val="00937419"/>
    <w:rsid w:val="0094119A"/>
    <w:rsid w:val="00944F32"/>
    <w:rsid w:val="00956A2A"/>
    <w:rsid w:val="00960818"/>
    <w:rsid w:val="009613F4"/>
    <w:rsid w:val="009629DC"/>
    <w:rsid w:val="0096340E"/>
    <w:rsid w:val="0096434D"/>
    <w:rsid w:val="00966BAA"/>
    <w:rsid w:val="009700D9"/>
    <w:rsid w:val="009729B0"/>
    <w:rsid w:val="009744CC"/>
    <w:rsid w:val="0097555C"/>
    <w:rsid w:val="0097658C"/>
    <w:rsid w:val="009816E3"/>
    <w:rsid w:val="00987319"/>
    <w:rsid w:val="00987486"/>
    <w:rsid w:val="00987C6B"/>
    <w:rsid w:val="00987CC3"/>
    <w:rsid w:val="00993BC4"/>
    <w:rsid w:val="009A45B2"/>
    <w:rsid w:val="009A76E3"/>
    <w:rsid w:val="009B02F9"/>
    <w:rsid w:val="009B64C7"/>
    <w:rsid w:val="009B71EA"/>
    <w:rsid w:val="009C0C6E"/>
    <w:rsid w:val="009C10BA"/>
    <w:rsid w:val="009C3341"/>
    <w:rsid w:val="009C3C1B"/>
    <w:rsid w:val="009C61E4"/>
    <w:rsid w:val="009D1183"/>
    <w:rsid w:val="009D1847"/>
    <w:rsid w:val="009D3EBD"/>
    <w:rsid w:val="009D6572"/>
    <w:rsid w:val="009D6B03"/>
    <w:rsid w:val="009E1FC2"/>
    <w:rsid w:val="009E43FD"/>
    <w:rsid w:val="009E5C57"/>
    <w:rsid w:val="009E7BC7"/>
    <w:rsid w:val="009F26C0"/>
    <w:rsid w:val="009F41D3"/>
    <w:rsid w:val="009F4806"/>
    <w:rsid w:val="00A003FF"/>
    <w:rsid w:val="00A01E4F"/>
    <w:rsid w:val="00A103EE"/>
    <w:rsid w:val="00A11A89"/>
    <w:rsid w:val="00A12E5B"/>
    <w:rsid w:val="00A143DB"/>
    <w:rsid w:val="00A176ED"/>
    <w:rsid w:val="00A21865"/>
    <w:rsid w:val="00A22A4F"/>
    <w:rsid w:val="00A23260"/>
    <w:rsid w:val="00A25CFB"/>
    <w:rsid w:val="00A367F8"/>
    <w:rsid w:val="00A45380"/>
    <w:rsid w:val="00A53785"/>
    <w:rsid w:val="00A55EC4"/>
    <w:rsid w:val="00A576AF"/>
    <w:rsid w:val="00A74A1A"/>
    <w:rsid w:val="00A7512C"/>
    <w:rsid w:val="00A77824"/>
    <w:rsid w:val="00A815B6"/>
    <w:rsid w:val="00A87B8B"/>
    <w:rsid w:val="00A92B54"/>
    <w:rsid w:val="00A931C7"/>
    <w:rsid w:val="00A96395"/>
    <w:rsid w:val="00AA1432"/>
    <w:rsid w:val="00AA763F"/>
    <w:rsid w:val="00AB1232"/>
    <w:rsid w:val="00AB217B"/>
    <w:rsid w:val="00AB248D"/>
    <w:rsid w:val="00AB784D"/>
    <w:rsid w:val="00AC0865"/>
    <w:rsid w:val="00AC2A7D"/>
    <w:rsid w:val="00AC3582"/>
    <w:rsid w:val="00AC6CCC"/>
    <w:rsid w:val="00AC7A53"/>
    <w:rsid w:val="00AC7D1B"/>
    <w:rsid w:val="00AD0468"/>
    <w:rsid w:val="00AD273A"/>
    <w:rsid w:val="00AD7E21"/>
    <w:rsid w:val="00AE0E20"/>
    <w:rsid w:val="00AE10A7"/>
    <w:rsid w:val="00AE653D"/>
    <w:rsid w:val="00AE7FEC"/>
    <w:rsid w:val="00AF2B21"/>
    <w:rsid w:val="00AF4802"/>
    <w:rsid w:val="00AF4FAE"/>
    <w:rsid w:val="00AF6B00"/>
    <w:rsid w:val="00B00D0D"/>
    <w:rsid w:val="00B0470C"/>
    <w:rsid w:val="00B07593"/>
    <w:rsid w:val="00B120B0"/>
    <w:rsid w:val="00B141D1"/>
    <w:rsid w:val="00B1512F"/>
    <w:rsid w:val="00B1716B"/>
    <w:rsid w:val="00B24176"/>
    <w:rsid w:val="00B2477D"/>
    <w:rsid w:val="00B27200"/>
    <w:rsid w:val="00B2749C"/>
    <w:rsid w:val="00B3029E"/>
    <w:rsid w:val="00B30D4C"/>
    <w:rsid w:val="00B318CB"/>
    <w:rsid w:val="00B326AD"/>
    <w:rsid w:val="00B355CD"/>
    <w:rsid w:val="00B4038F"/>
    <w:rsid w:val="00B420B9"/>
    <w:rsid w:val="00B428DB"/>
    <w:rsid w:val="00B56D86"/>
    <w:rsid w:val="00B60205"/>
    <w:rsid w:val="00B61EB2"/>
    <w:rsid w:val="00B62F10"/>
    <w:rsid w:val="00B63529"/>
    <w:rsid w:val="00B676D4"/>
    <w:rsid w:val="00B70B23"/>
    <w:rsid w:val="00B812A0"/>
    <w:rsid w:val="00B82510"/>
    <w:rsid w:val="00B83B3B"/>
    <w:rsid w:val="00B83DBF"/>
    <w:rsid w:val="00B84588"/>
    <w:rsid w:val="00B92D93"/>
    <w:rsid w:val="00B95ACE"/>
    <w:rsid w:val="00B96CA1"/>
    <w:rsid w:val="00BA1B69"/>
    <w:rsid w:val="00BA25BA"/>
    <w:rsid w:val="00BA4B76"/>
    <w:rsid w:val="00BA682C"/>
    <w:rsid w:val="00BA74E2"/>
    <w:rsid w:val="00BB0230"/>
    <w:rsid w:val="00BB4A91"/>
    <w:rsid w:val="00BC1912"/>
    <w:rsid w:val="00BD037B"/>
    <w:rsid w:val="00BD2322"/>
    <w:rsid w:val="00BD2CFC"/>
    <w:rsid w:val="00BD4484"/>
    <w:rsid w:val="00BD681D"/>
    <w:rsid w:val="00BE07DE"/>
    <w:rsid w:val="00BE270F"/>
    <w:rsid w:val="00BE6870"/>
    <w:rsid w:val="00BF202C"/>
    <w:rsid w:val="00BF48DC"/>
    <w:rsid w:val="00BF5478"/>
    <w:rsid w:val="00BF6CD9"/>
    <w:rsid w:val="00BF722C"/>
    <w:rsid w:val="00C02F79"/>
    <w:rsid w:val="00C03EDC"/>
    <w:rsid w:val="00C1507C"/>
    <w:rsid w:val="00C16921"/>
    <w:rsid w:val="00C172D7"/>
    <w:rsid w:val="00C172FB"/>
    <w:rsid w:val="00C20D55"/>
    <w:rsid w:val="00C222E9"/>
    <w:rsid w:val="00C265BC"/>
    <w:rsid w:val="00C26877"/>
    <w:rsid w:val="00C320C9"/>
    <w:rsid w:val="00C3306C"/>
    <w:rsid w:val="00C34062"/>
    <w:rsid w:val="00C34F39"/>
    <w:rsid w:val="00C34F3D"/>
    <w:rsid w:val="00C36B72"/>
    <w:rsid w:val="00C37E89"/>
    <w:rsid w:val="00C44888"/>
    <w:rsid w:val="00C45D4B"/>
    <w:rsid w:val="00C51F14"/>
    <w:rsid w:val="00C551D6"/>
    <w:rsid w:val="00C63B06"/>
    <w:rsid w:val="00C65530"/>
    <w:rsid w:val="00C66F87"/>
    <w:rsid w:val="00C67AA5"/>
    <w:rsid w:val="00C70415"/>
    <w:rsid w:val="00C70C95"/>
    <w:rsid w:val="00C75531"/>
    <w:rsid w:val="00C75960"/>
    <w:rsid w:val="00C75AC8"/>
    <w:rsid w:val="00C75D44"/>
    <w:rsid w:val="00C80D54"/>
    <w:rsid w:val="00C8452E"/>
    <w:rsid w:val="00C86B15"/>
    <w:rsid w:val="00C90278"/>
    <w:rsid w:val="00C951B3"/>
    <w:rsid w:val="00CA0FAF"/>
    <w:rsid w:val="00CA2F22"/>
    <w:rsid w:val="00CA4018"/>
    <w:rsid w:val="00CA54A5"/>
    <w:rsid w:val="00CA54AB"/>
    <w:rsid w:val="00CA614B"/>
    <w:rsid w:val="00CB08AA"/>
    <w:rsid w:val="00CB0A80"/>
    <w:rsid w:val="00CB236A"/>
    <w:rsid w:val="00CC1E55"/>
    <w:rsid w:val="00CC553A"/>
    <w:rsid w:val="00CC5B26"/>
    <w:rsid w:val="00CD0912"/>
    <w:rsid w:val="00CD58AE"/>
    <w:rsid w:val="00CD6BE7"/>
    <w:rsid w:val="00CE2927"/>
    <w:rsid w:val="00CE41F2"/>
    <w:rsid w:val="00CF0782"/>
    <w:rsid w:val="00CF19DD"/>
    <w:rsid w:val="00CF398F"/>
    <w:rsid w:val="00CF3EC1"/>
    <w:rsid w:val="00CF5E0E"/>
    <w:rsid w:val="00CF6D1F"/>
    <w:rsid w:val="00D03603"/>
    <w:rsid w:val="00D07AA7"/>
    <w:rsid w:val="00D10B7F"/>
    <w:rsid w:val="00D13E6C"/>
    <w:rsid w:val="00D162C5"/>
    <w:rsid w:val="00D25690"/>
    <w:rsid w:val="00D338A6"/>
    <w:rsid w:val="00D3403B"/>
    <w:rsid w:val="00D37741"/>
    <w:rsid w:val="00D37AA4"/>
    <w:rsid w:val="00D412D2"/>
    <w:rsid w:val="00D41594"/>
    <w:rsid w:val="00D530DE"/>
    <w:rsid w:val="00D541E3"/>
    <w:rsid w:val="00D55530"/>
    <w:rsid w:val="00D56B88"/>
    <w:rsid w:val="00D575A2"/>
    <w:rsid w:val="00D61215"/>
    <w:rsid w:val="00D61F22"/>
    <w:rsid w:val="00D626BD"/>
    <w:rsid w:val="00D66844"/>
    <w:rsid w:val="00D67180"/>
    <w:rsid w:val="00D707EB"/>
    <w:rsid w:val="00D8158B"/>
    <w:rsid w:val="00D815DB"/>
    <w:rsid w:val="00D84A3D"/>
    <w:rsid w:val="00D85E72"/>
    <w:rsid w:val="00D8663D"/>
    <w:rsid w:val="00D90D82"/>
    <w:rsid w:val="00D91556"/>
    <w:rsid w:val="00D951E3"/>
    <w:rsid w:val="00D96375"/>
    <w:rsid w:val="00D96A79"/>
    <w:rsid w:val="00DA1144"/>
    <w:rsid w:val="00DA1A7B"/>
    <w:rsid w:val="00DA2008"/>
    <w:rsid w:val="00DA2854"/>
    <w:rsid w:val="00DA2EA4"/>
    <w:rsid w:val="00DA59E5"/>
    <w:rsid w:val="00DA64EB"/>
    <w:rsid w:val="00DA7166"/>
    <w:rsid w:val="00DB0017"/>
    <w:rsid w:val="00DB08B8"/>
    <w:rsid w:val="00DB0B8E"/>
    <w:rsid w:val="00DB122C"/>
    <w:rsid w:val="00DB18C8"/>
    <w:rsid w:val="00DB5176"/>
    <w:rsid w:val="00DB6F39"/>
    <w:rsid w:val="00DD07A4"/>
    <w:rsid w:val="00DD7A13"/>
    <w:rsid w:val="00DE0F91"/>
    <w:rsid w:val="00DE17B1"/>
    <w:rsid w:val="00DE3CBE"/>
    <w:rsid w:val="00DF6163"/>
    <w:rsid w:val="00DF66DF"/>
    <w:rsid w:val="00E02E4F"/>
    <w:rsid w:val="00E02FC5"/>
    <w:rsid w:val="00E0414D"/>
    <w:rsid w:val="00E063E5"/>
    <w:rsid w:val="00E06AE5"/>
    <w:rsid w:val="00E06D6B"/>
    <w:rsid w:val="00E10F28"/>
    <w:rsid w:val="00E11820"/>
    <w:rsid w:val="00E1211C"/>
    <w:rsid w:val="00E1419D"/>
    <w:rsid w:val="00E21D3F"/>
    <w:rsid w:val="00E24097"/>
    <w:rsid w:val="00E2445A"/>
    <w:rsid w:val="00E27D87"/>
    <w:rsid w:val="00E40D23"/>
    <w:rsid w:val="00E43AE1"/>
    <w:rsid w:val="00E44D35"/>
    <w:rsid w:val="00E44E2D"/>
    <w:rsid w:val="00E5062C"/>
    <w:rsid w:val="00E52E00"/>
    <w:rsid w:val="00E52E17"/>
    <w:rsid w:val="00E63843"/>
    <w:rsid w:val="00E64D17"/>
    <w:rsid w:val="00E66780"/>
    <w:rsid w:val="00E66900"/>
    <w:rsid w:val="00E75506"/>
    <w:rsid w:val="00E7799D"/>
    <w:rsid w:val="00E926CD"/>
    <w:rsid w:val="00EA28FE"/>
    <w:rsid w:val="00EA2AEA"/>
    <w:rsid w:val="00EA2D2F"/>
    <w:rsid w:val="00EA53D4"/>
    <w:rsid w:val="00EA5879"/>
    <w:rsid w:val="00EA6C44"/>
    <w:rsid w:val="00EB013F"/>
    <w:rsid w:val="00EB0BA9"/>
    <w:rsid w:val="00EB420B"/>
    <w:rsid w:val="00EB54FB"/>
    <w:rsid w:val="00EB5912"/>
    <w:rsid w:val="00EB74BE"/>
    <w:rsid w:val="00EB74E5"/>
    <w:rsid w:val="00EC26F4"/>
    <w:rsid w:val="00EC2BB5"/>
    <w:rsid w:val="00EC37ED"/>
    <w:rsid w:val="00EC7061"/>
    <w:rsid w:val="00EC7590"/>
    <w:rsid w:val="00ED2D14"/>
    <w:rsid w:val="00ED39A0"/>
    <w:rsid w:val="00ED6E47"/>
    <w:rsid w:val="00ED740B"/>
    <w:rsid w:val="00ED7BF3"/>
    <w:rsid w:val="00EE126D"/>
    <w:rsid w:val="00EF1D14"/>
    <w:rsid w:val="00F0184C"/>
    <w:rsid w:val="00F01EC5"/>
    <w:rsid w:val="00F03BBC"/>
    <w:rsid w:val="00F1136F"/>
    <w:rsid w:val="00F12554"/>
    <w:rsid w:val="00F16364"/>
    <w:rsid w:val="00F26B39"/>
    <w:rsid w:val="00F40DA8"/>
    <w:rsid w:val="00F54E1F"/>
    <w:rsid w:val="00F55B07"/>
    <w:rsid w:val="00F60AE0"/>
    <w:rsid w:val="00F62864"/>
    <w:rsid w:val="00F62E3B"/>
    <w:rsid w:val="00F6484D"/>
    <w:rsid w:val="00F650C9"/>
    <w:rsid w:val="00F6767C"/>
    <w:rsid w:val="00F71EA2"/>
    <w:rsid w:val="00F74B55"/>
    <w:rsid w:val="00F76DE8"/>
    <w:rsid w:val="00F83C27"/>
    <w:rsid w:val="00F83E8B"/>
    <w:rsid w:val="00F843B8"/>
    <w:rsid w:val="00F8636C"/>
    <w:rsid w:val="00F86563"/>
    <w:rsid w:val="00F8685B"/>
    <w:rsid w:val="00F9206F"/>
    <w:rsid w:val="00F93B07"/>
    <w:rsid w:val="00F94839"/>
    <w:rsid w:val="00F9778D"/>
    <w:rsid w:val="00FA053D"/>
    <w:rsid w:val="00FB00E3"/>
    <w:rsid w:val="00FB0B25"/>
    <w:rsid w:val="00FB7BC9"/>
    <w:rsid w:val="00FC532A"/>
    <w:rsid w:val="00FC620E"/>
    <w:rsid w:val="00FC6F08"/>
    <w:rsid w:val="00FD0638"/>
    <w:rsid w:val="00FD0F28"/>
    <w:rsid w:val="00FD23B1"/>
    <w:rsid w:val="00FD2F2B"/>
    <w:rsid w:val="00FD4D3A"/>
    <w:rsid w:val="00FD631B"/>
    <w:rsid w:val="00FD6514"/>
    <w:rsid w:val="00FD7FAC"/>
    <w:rsid w:val="00FE32CA"/>
    <w:rsid w:val="00FE3E66"/>
    <w:rsid w:val="00FE4BB3"/>
    <w:rsid w:val="00FE4DC4"/>
    <w:rsid w:val="00FF1FCA"/>
    <w:rsid w:val="00FF2E48"/>
    <w:rsid w:val="00FF387B"/>
    <w:rsid w:val="00FF38DB"/>
    <w:rsid w:val="00FF48AF"/>
    <w:rsid w:val="00FF5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B2B8DA4-EDDC-4059-B87C-2DB7F90C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0DE"/>
    <w:rPr>
      <w:rFonts w:ascii="Arial" w:hAnsi="Arial"/>
      <w:sz w:val="22"/>
      <w:szCs w:val="22"/>
    </w:rPr>
  </w:style>
  <w:style w:type="paragraph" w:styleId="Nadpis7">
    <w:name w:val="heading 7"/>
    <w:basedOn w:val="Normln"/>
    <w:next w:val="Normln"/>
    <w:qFormat/>
    <w:rsid w:val="00FF38DB"/>
    <w:pPr>
      <w:keepNext/>
      <w:spacing w:line="240" w:lineRule="atLeast"/>
      <w:ind w:left="142" w:hanging="142"/>
      <w:jc w:val="both"/>
      <w:outlineLvl w:val="6"/>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38DB"/>
    <w:pPr>
      <w:widowControl w:val="0"/>
      <w:tabs>
        <w:tab w:val="center" w:pos="4536"/>
        <w:tab w:val="right" w:pos="9072"/>
      </w:tabs>
      <w:spacing w:line="360" w:lineRule="auto"/>
      <w:jc w:val="both"/>
    </w:pPr>
    <w:rPr>
      <w:rFonts w:ascii="Times New Roman" w:hAnsi="Times New Roman"/>
      <w:sz w:val="24"/>
      <w:szCs w:val="20"/>
      <w:lang w:eastAsia="en-US"/>
    </w:rPr>
  </w:style>
  <w:style w:type="character" w:styleId="Znakapoznpodarou">
    <w:name w:val="footnote reference"/>
    <w:semiHidden/>
    <w:rsid w:val="005B6CC6"/>
    <w:rPr>
      <w:sz w:val="20"/>
      <w:vertAlign w:val="superscript"/>
    </w:rPr>
  </w:style>
  <w:style w:type="paragraph" w:styleId="Textpoznpodarou">
    <w:name w:val="footnote text"/>
    <w:basedOn w:val="Normln"/>
    <w:link w:val="TextpoznpodarouChar"/>
    <w:semiHidden/>
    <w:rsid w:val="005B6CC6"/>
    <w:pPr>
      <w:widowControl w:val="0"/>
    </w:pPr>
    <w:rPr>
      <w:rFonts w:ascii="Times New Roman" w:hAnsi="Times New Roman"/>
      <w:sz w:val="20"/>
      <w:szCs w:val="20"/>
      <w:lang w:eastAsia="en-US"/>
    </w:rPr>
  </w:style>
  <w:style w:type="paragraph" w:styleId="Textbubliny">
    <w:name w:val="Balloon Text"/>
    <w:basedOn w:val="Normln"/>
    <w:semiHidden/>
    <w:rsid w:val="00CA54A5"/>
    <w:rPr>
      <w:rFonts w:ascii="Tahoma" w:hAnsi="Tahoma" w:cs="Tahoma"/>
      <w:sz w:val="16"/>
      <w:szCs w:val="16"/>
    </w:rPr>
  </w:style>
  <w:style w:type="character" w:styleId="slodku">
    <w:name w:val="line number"/>
    <w:basedOn w:val="Standardnpsmoodstavce"/>
    <w:rsid w:val="00905C29"/>
  </w:style>
  <w:style w:type="paragraph" w:styleId="Zkladntext">
    <w:name w:val="Body Text"/>
    <w:basedOn w:val="Normln"/>
    <w:rsid w:val="009C61E4"/>
    <w:pPr>
      <w:autoSpaceDE w:val="0"/>
      <w:autoSpaceDN w:val="0"/>
      <w:jc w:val="both"/>
    </w:pPr>
    <w:rPr>
      <w:rFonts w:ascii="Times New Roman" w:hAnsi="Times New Roman"/>
      <w:sz w:val="24"/>
      <w:szCs w:val="24"/>
    </w:rPr>
  </w:style>
  <w:style w:type="paragraph" w:styleId="Zpat">
    <w:name w:val="footer"/>
    <w:basedOn w:val="Normln"/>
    <w:rsid w:val="00FB00E3"/>
    <w:pPr>
      <w:tabs>
        <w:tab w:val="center" w:pos="4536"/>
        <w:tab w:val="right" w:pos="9072"/>
      </w:tabs>
    </w:pPr>
  </w:style>
  <w:style w:type="character" w:styleId="slostrnky">
    <w:name w:val="page number"/>
    <w:basedOn w:val="Standardnpsmoodstavce"/>
    <w:rsid w:val="00FB00E3"/>
  </w:style>
  <w:style w:type="paragraph" w:styleId="Rozloendokumentu">
    <w:name w:val="Document Map"/>
    <w:basedOn w:val="Normln"/>
    <w:semiHidden/>
    <w:rsid w:val="005572AC"/>
    <w:pPr>
      <w:shd w:val="clear" w:color="auto" w:fill="000080"/>
    </w:pPr>
    <w:rPr>
      <w:rFonts w:ascii="Tahoma" w:hAnsi="Tahoma" w:cs="Tahoma"/>
      <w:sz w:val="20"/>
      <w:szCs w:val="20"/>
    </w:rPr>
  </w:style>
  <w:style w:type="paragraph" w:styleId="Zkladntextodsazen">
    <w:name w:val="Body Text Indent"/>
    <w:basedOn w:val="Normln"/>
    <w:rsid w:val="00473854"/>
    <w:pPr>
      <w:spacing w:after="120"/>
      <w:ind w:left="283"/>
    </w:pPr>
    <w:rPr>
      <w:rFonts w:cs="Arial"/>
    </w:rPr>
  </w:style>
  <w:style w:type="table" w:styleId="Mkatabulky">
    <w:name w:val="Table Grid"/>
    <w:basedOn w:val="Normlntabulka"/>
    <w:rsid w:val="0043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B56D86"/>
    <w:rPr>
      <w:sz w:val="16"/>
      <w:szCs w:val="16"/>
    </w:rPr>
  </w:style>
  <w:style w:type="paragraph" w:styleId="Textkomente">
    <w:name w:val="annotation text"/>
    <w:basedOn w:val="Normln"/>
    <w:semiHidden/>
    <w:rsid w:val="00B56D86"/>
    <w:rPr>
      <w:sz w:val="20"/>
      <w:szCs w:val="20"/>
    </w:rPr>
  </w:style>
  <w:style w:type="paragraph" w:styleId="Pedmtkomente">
    <w:name w:val="annotation subject"/>
    <w:basedOn w:val="Textkomente"/>
    <w:next w:val="Textkomente"/>
    <w:semiHidden/>
    <w:rsid w:val="00B56D86"/>
    <w:rPr>
      <w:b/>
      <w:bCs/>
    </w:rPr>
  </w:style>
  <w:style w:type="character" w:styleId="Hypertextovodkaz">
    <w:name w:val="Hyperlink"/>
    <w:rsid w:val="001F213E"/>
    <w:rPr>
      <w:color w:val="0000FF"/>
      <w:u w:val="single"/>
    </w:rPr>
  </w:style>
  <w:style w:type="paragraph" w:styleId="Odstavecseseznamem">
    <w:name w:val="List Paragraph"/>
    <w:basedOn w:val="Normln"/>
    <w:qFormat/>
    <w:rsid w:val="007645EA"/>
    <w:pPr>
      <w:spacing w:after="200" w:line="276" w:lineRule="auto"/>
      <w:ind w:left="720"/>
      <w:contextualSpacing/>
    </w:pPr>
    <w:rPr>
      <w:rFonts w:ascii="Calibri" w:eastAsia="Calibri" w:hAnsi="Calibri"/>
      <w:lang w:eastAsia="en-US"/>
    </w:rPr>
  </w:style>
  <w:style w:type="character" w:customStyle="1" w:styleId="TextpoznpodarouChar">
    <w:name w:val="Text pozn. pod čarou Char"/>
    <w:link w:val="Textpoznpodarou"/>
    <w:semiHidden/>
    <w:rsid w:val="00AF4FAE"/>
    <w:rPr>
      <w:lang w:val="cs-CZ" w:eastAsia="en-US" w:bidi="ar-SA"/>
    </w:rPr>
  </w:style>
  <w:style w:type="paragraph" w:customStyle="1" w:styleId="T-Mobile-textdopis">
    <w:name w:val="T-Mobile - text dopis"/>
    <w:basedOn w:val="Normln"/>
    <w:rsid w:val="00EA53D4"/>
    <w:pPr>
      <w:spacing w:line="280" w:lineRule="exact"/>
      <w:ind w:left="1276"/>
    </w:pPr>
    <w:rPr>
      <w:sz w:val="18"/>
      <w:szCs w:val="18"/>
    </w:rPr>
  </w:style>
  <w:style w:type="paragraph" w:styleId="Revize">
    <w:name w:val="Revision"/>
    <w:hidden/>
    <w:uiPriority w:val="99"/>
    <w:semiHidden/>
    <w:rsid w:val="00A11A89"/>
    <w:rPr>
      <w:rFonts w:ascii="Arial" w:hAnsi="Arial"/>
      <w:sz w:val="22"/>
      <w:szCs w:val="22"/>
    </w:rPr>
  </w:style>
  <w:style w:type="character" w:styleId="Sledovanodkaz">
    <w:name w:val="FollowedHyperlink"/>
    <w:basedOn w:val="Standardnpsmoodstavce"/>
    <w:rsid w:val="00840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64">
      <w:bodyDiv w:val="1"/>
      <w:marLeft w:val="0"/>
      <w:marRight w:val="0"/>
      <w:marTop w:val="0"/>
      <w:marBottom w:val="0"/>
      <w:divBdr>
        <w:top w:val="none" w:sz="0" w:space="0" w:color="auto"/>
        <w:left w:val="none" w:sz="0" w:space="0" w:color="auto"/>
        <w:bottom w:val="none" w:sz="0" w:space="0" w:color="auto"/>
        <w:right w:val="none" w:sz="0" w:space="0" w:color="auto"/>
      </w:divBdr>
    </w:div>
    <w:div w:id="636035726">
      <w:bodyDiv w:val="1"/>
      <w:marLeft w:val="0"/>
      <w:marRight w:val="0"/>
      <w:marTop w:val="0"/>
      <w:marBottom w:val="0"/>
      <w:divBdr>
        <w:top w:val="none" w:sz="0" w:space="0" w:color="auto"/>
        <w:left w:val="none" w:sz="0" w:space="0" w:color="auto"/>
        <w:bottom w:val="none" w:sz="0" w:space="0" w:color="auto"/>
        <w:right w:val="none" w:sz="0" w:space="0" w:color="auto"/>
      </w:divBdr>
    </w:div>
    <w:div w:id="1644777231">
      <w:bodyDiv w:val="1"/>
      <w:marLeft w:val="0"/>
      <w:marRight w:val="0"/>
      <w:marTop w:val="0"/>
      <w:marBottom w:val="0"/>
      <w:divBdr>
        <w:top w:val="none" w:sz="0" w:space="0" w:color="auto"/>
        <w:left w:val="none" w:sz="0" w:space="0" w:color="auto"/>
        <w:bottom w:val="none" w:sz="0" w:space="0" w:color="auto"/>
        <w:right w:val="none" w:sz="0" w:space="0" w:color="auto"/>
      </w:divBdr>
    </w:div>
    <w:div w:id="1944023245">
      <w:bodyDiv w:val="1"/>
      <w:marLeft w:val="0"/>
      <w:marRight w:val="0"/>
      <w:marTop w:val="0"/>
      <w:marBottom w:val="0"/>
      <w:divBdr>
        <w:top w:val="none" w:sz="0" w:space="0" w:color="auto"/>
        <w:left w:val="none" w:sz="0" w:space="0" w:color="auto"/>
        <w:bottom w:val="none" w:sz="0" w:space="0" w:color="auto"/>
        <w:right w:val="none" w:sz="0" w:space="0" w:color="auto"/>
      </w:divBdr>
    </w:div>
    <w:div w:id="1951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pevna_sit.zip" TargetMode="External"/><Relationship Id="rId13" Type="http://schemas.openxmlformats.org/officeDocument/2006/relationships/hyperlink" Target="http://www.ctu.cz/cs/download/oop/oop_04/oop_04-03_2006-03_uplne_zneni_12-201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u.cz/cs/download/oop/oop_04/oop_04-03_2006-03.pdf" TargetMode="External"/><Relationship Id="rId17" Type="http://schemas.openxmlformats.org/officeDocument/2006/relationships/hyperlink" Target="http://www.ctu.cz/ctu-online/diskuzni-misto.html?action=detail&amp;ArticleId=10775" TargetMode="External"/><Relationship Id="rId2" Type="http://schemas.openxmlformats.org/officeDocument/2006/relationships/numbering" Target="numbering.xml"/><Relationship Id="rId16" Type="http://schemas.openxmlformats.org/officeDocument/2006/relationships/hyperlink" Target="http://www.ctu.cz/cs/download/oop/oop_04/manual_lric_pevn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mart-regulation/impact/ia_carried_out/docs/ia_2009/sec_2009_0600_en.pdf" TargetMode="External"/><Relationship Id="rId5" Type="http://schemas.openxmlformats.org/officeDocument/2006/relationships/webSettings" Target="webSettings.xml"/><Relationship Id="rId15" Type="http://schemas.openxmlformats.org/officeDocument/2006/relationships/hyperlink" Target="http://www.ctu.cz/cs/download/oop/oop_04/metodika_lric_pevna.pdf" TargetMode="External"/><Relationship Id="rId10" Type="http://schemas.openxmlformats.org/officeDocument/2006/relationships/hyperlink" Target="http://www.ctu.cz/cs/download/oop/oop_04/manual_lric_pevn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u.cz/cs/download/oop/oop_04/metodika_lric_pevna.pdf" TargetMode="External"/><Relationship Id="rId14" Type="http://schemas.openxmlformats.org/officeDocument/2006/relationships/hyperlink" Target="http://www.ctu.cz/cs/download/oop/oop_04/model_lric_terminace_pevna_sit.z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tu.cz/cs/download/art/smp/rozhodnuti/rozhodnuti_smp_03-04_2010-49_upc.pdf" TargetMode="External"/><Relationship Id="rId13" Type="http://schemas.openxmlformats.org/officeDocument/2006/relationships/hyperlink" Target="http://www.ctu.cz/cs/download/art/cen/rozhodnuti/rozhodnuti_cen_04-06_2013-03_telefonica.pdf" TargetMode="External"/><Relationship Id="rId3" Type="http://schemas.openxmlformats.org/officeDocument/2006/relationships/hyperlink" Target="http://www.ctu.cz/cs/download/art/cen/rozhodnuti/rozhodnuti_cen_07-12_2012-06_t-mobile.pdf" TargetMode="External"/><Relationship Id="rId7" Type="http://schemas.openxmlformats.org/officeDocument/2006/relationships/hyperlink" Target="http://berec.europa.eu/eng/document_register/subject_matter/berec/download/0/1157-berec-opinion-on-phase-ii-investigation-_0.pdf" TargetMode="External"/><Relationship Id="rId12" Type="http://schemas.openxmlformats.org/officeDocument/2006/relationships/hyperlink" Target="http://www.ctu.cz/cs/download/art/cen/rozhodnuti/rozhodnuti_cen_07-12_2012-06_t-mobile.pdf" TargetMode="External"/><Relationship Id="rId2" Type="http://schemas.openxmlformats.org/officeDocument/2006/relationships/hyperlink" Target="http://www.ctu.cz/cs/download/art/cen/rozhodnuti/rozhodnuti_cen_07-12_2012-05_telefonica.pdf" TargetMode="External"/><Relationship Id="rId1" Type="http://schemas.openxmlformats.org/officeDocument/2006/relationships/hyperlink" Target="http://www.ctu.cz/cs/download/art/cen/rozhodnuti/rozhodnuti_cen_07-12_2012-07_vodafone_.pdf" TargetMode="External"/><Relationship Id="rId6" Type="http://schemas.openxmlformats.org/officeDocument/2006/relationships/hyperlink" Target="http://www.ctu.cz/cs/download/art/oop/rozhodnuti/oop_art-03-12_2013-08.pdf" TargetMode="External"/><Relationship Id="rId11" Type="http://schemas.openxmlformats.org/officeDocument/2006/relationships/hyperlink" Target="http://www.ctu.cz/cs/download/art/cen/rozhodnuti/rozhodnuti_cen_07-12_2012-05_telefonica.pdf" TargetMode="External"/><Relationship Id="rId5" Type="http://schemas.openxmlformats.org/officeDocument/2006/relationships/hyperlink" Target="http://www.ctu.cz/cs/download/art/oop/rozhodnuti/oop_art-07-12_2013-09.pdf" TargetMode="External"/><Relationship Id="rId15" Type="http://schemas.openxmlformats.org/officeDocument/2006/relationships/hyperlink" Target="http://eur-lex.europa.eu/LexUriServ/LexUriServ.do?uri=OJ:L:2012:172:0010:0035:CS:PDF" TargetMode="External"/><Relationship Id="rId10" Type="http://schemas.openxmlformats.org/officeDocument/2006/relationships/hyperlink" Target="http://www.ctu.cz/cs/download/art/cen/rozhodnuti/rozhodnuti_cen_07-12_2012-07_vodafone_.pdf" TargetMode="External"/><Relationship Id="rId4" Type="http://schemas.openxmlformats.org/officeDocument/2006/relationships/hyperlink" Target="http://berec.europa.eu/eng/document_register/subject_matter/berec/download/0/3900-termination-rates-benchmark-snapshot-as-_0.pdf" TargetMode="External"/><Relationship Id="rId9" Type="http://schemas.openxmlformats.org/officeDocument/2006/relationships/hyperlink" Target="http://www.ctu.cz/cs/download/art/oop/rozhodnuti/oop_art-3-10_2009-13.pdf" TargetMode="External"/><Relationship Id="rId14" Type="http://schemas.openxmlformats.org/officeDocument/2006/relationships/hyperlink" Target="http://www.ctu.cz/cs/download/art/cen/rozhodnuti/rozhodnuti_cen_04-06_2012-01_telefonica.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3911162-0B8F-4698-B361-51FB3289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8942881F</Template>
  <TotalTime>19</TotalTime>
  <Pages>11</Pages>
  <Words>5837</Words>
  <Characters>34805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Návrh</vt:lpstr>
    </vt:vector>
  </TitlesOfParts>
  <Company>CTU</Company>
  <LinksUpToDate>false</LinksUpToDate>
  <CharactersWithSpaces>40561</CharactersWithSpaces>
  <SharedDoc>false</SharedDoc>
  <HLinks>
    <vt:vector size="24" baseType="variant">
      <vt:variant>
        <vt:i4>2752586</vt:i4>
      </vt:variant>
      <vt:variant>
        <vt:i4>6</vt:i4>
      </vt:variant>
      <vt:variant>
        <vt:i4>0</vt:i4>
      </vt:variant>
      <vt:variant>
        <vt:i4>5</vt:i4>
      </vt:variant>
      <vt:variant>
        <vt:lpwstr>http://www.ctu.cz/cs/download/oop/oop_04/manual_lric_pevna.pdf</vt:lpwstr>
      </vt:variant>
      <vt:variant>
        <vt:lpwstr/>
      </vt:variant>
      <vt:variant>
        <vt:i4>6160432</vt:i4>
      </vt:variant>
      <vt:variant>
        <vt:i4>3</vt:i4>
      </vt:variant>
      <vt:variant>
        <vt:i4>0</vt:i4>
      </vt:variant>
      <vt:variant>
        <vt:i4>5</vt:i4>
      </vt:variant>
      <vt:variant>
        <vt:lpwstr>http://www.ctu.cz/cs/download/oop/oop_04/metodika_lric_pevna.pdf</vt:lpwstr>
      </vt:variant>
      <vt:variant>
        <vt:lpwstr/>
      </vt:variant>
      <vt:variant>
        <vt:i4>6815772</vt:i4>
      </vt:variant>
      <vt:variant>
        <vt:i4>0</vt:i4>
      </vt:variant>
      <vt:variant>
        <vt:i4>0</vt:i4>
      </vt:variant>
      <vt:variant>
        <vt:i4>5</vt:i4>
      </vt:variant>
      <vt:variant>
        <vt:lpwstr>http://www.ctu.cz/cs/download/oop/oop_04/model_lric_terminace_pevna_sit.zip</vt:lpwstr>
      </vt:variant>
      <vt:variant>
        <vt:lpwstr/>
      </vt:variant>
      <vt:variant>
        <vt:i4>4980758</vt:i4>
      </vt:variant>
      <vt:variant>
        <vt:i4>0</vt:i4>
      </vt:variant>
      <vt:variant>
        <vt:i4>0</vt:i4>
      </vt:variant>
      <vt:variant>
        <vt:i4>5</vt:i4>
      </vt:variant>
      <vt:variant>
        <vt:lpwstr>http://eur-lex.europa.eu/LexUriServ/LexUriServ.do?uri=OJ:L:2012:172:0010:0035:CS:PDF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SUBRTP@ctu.cz</dc:creator>
  <cp:lastModifiedBy>PROCHÁZKA Pavel</cp:lastModifiedBy>
  <cp:revision>6</cp:revision>
  <cp:lastPrinted>2012-11-02T10:44:00Z</cp:lastPrinted>
  <dcterms:created xsi:type="dcterms:W3CDTF">2014-02-02T17:11:00Z</dcterms:created>
  <dcterms:modified xsi:type="dcterms:W3CDTF">2014-02-05T11:36:00Z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3</vt:lpwstr>
  </property>
  <property fmtid="{D5CDD505-2E9C-101B-9397-08002B2CF9AE}" pid="3" name="Bod jednání">
    <vt:lpwstr>2</vt:lpwstr>
  </property>
  <property fmtid="{D5CDD505-2E9C-101B-9397-08002B2CF9AE}" pid="4" name="Stav projednávání">
    <vt:lpwstr>k notifikaci</vt:lpwstr>
  </property>
  <property fmtid="{D5CDD505-2E9C-101B-9397-08002B2CF9AE}" pid="5" name="Odbor">
    <vt:lpwstr>611</vt:lpwstr>
  </property>
  <property fmtid="{D5CDD505-2E9C-101B-9397-08002B2CF9AE}" pid="6" name="Číslo protokolu">
    <vt:lpwstr/>
  </property>
  <property fmtid="{D5CDD505-2E9C-101B-9397-08002B2CF9AE}" pid="7" name="čj">
    <vt:lpwstr>2012.62</vt:lpwstr>
  </property>
  <property fmtid="{D5CDD505-2E9C-101B-9397-08002B2CF9AE}" pid="8" name="Datum zasedání">
    <vt:lpwstr>2012-11-07T00:00:00Z</vt:lpwstr>
  </property>
  <property fmtid="{D5CDD505-2E9C-101B-9397-08002B2CF9AE}" pid="9" name="ContentType">
    <vt:lpwstr>Dokument</vt:lpwstr>
  </property>
</Properties>
</file>