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31284" w14:textId="69DC0574" w:rsidR="002D6F89" w:rsidRPr="00B300B4" w:rsidRDefault="008C444C" w:rsidP="00C73DB9">
      <w:pPr>
        <w:pStyle w:val="Vvojcen-nzevdokumentu"/>
        <w:rPr>
          <w:rFonts w:cs="Arial"/>
        </w:rPr>
      </w:pPr>
      <w:r w:rsidRPr="00975ACC">
        <w:rPr>
          <w:rFonts w:cs="Arial"/>
        </w:rPr>
        <w:t>Metodika</w:t>
      </w:r>
      <w:r w:rsidR="00670885" w:rsidRPr="00975ACC">
        <w:rPr>
          <w:rFonts w:cs="Arial"/>
        </w:rPr>
        <w:t xml:space="preserve"> pro</w:t>
      </w:r>
      <w:r w:rsidR="00C05564" w:rsidRPr="00975ACC">
        <w:rPr>
          <w:rFonts w:cs="Arial"/>
        </w:rPr>
        <w:t xml:space="preserve"> </w:t>
      </w:r>
      <w:r w:rsidR="00A533AC">
        <w:rPr>
          <w:rFonts w:cs="Arial"/>
        </w:rPr>
        <w:t xml:space="preserve">stanovení cen </w:t>
      </w:r>
      <w:r w:rsidR="000A4AEB" w:rsidRPr="00B05191">
        <w:rPr>
          <w:rFonts w:cs="Arial"/>
        </w:rPr>
        <w:t>za přístup</w:t>
      </w:r>
      <w:r w:rsidR="00670885" w:rsidRPr="00B05191">
        <w:rPr>
          <w:rFonts w:cs="Arial"/>
        </w:rPr>
        <w:t xml:space="preserve"> k</w:t>
      </w:r>
      <w:r w:rsidR="0049013A" w:rsidRPr="00B300B4">
        <w:rPr>
          <w:rFonts w:cs="Arial"/>
        </w:rPr>
        <w:t> </w:t>
      </w:r>
      <w:r w:rsidR="002E52E7" w:rsidRPr="00B300B4">
        <w:rPr>
          <w:rFonts w:cs="Arial"/>
        </w:rPr>
        <w:t>fyzické</w:t>
      </w:r>
      <w:r w:rsidR="002D6F89" w:rsidRPr="00B300B4">
        <w:rPr>
          <w:rFonts w:cs="Arial"/>
        </w:rPr>
        <w:t xml:space="preserve"> </w:t>
      </w:r>
      <w:r w:rsidR="00A425F1" w:rsidRPr="00B300B4">
        <w:rPr>
          <w:rFonts w:cs="Arial"/>
        </w:rPr>
        <w:t>infrastruktu</w:t>
      </w:r>
      <w:r w:rsidR="00670885" w:rsidRPr="00B300B4">
        <w:rPr>
          <w:rFonts w:cs="Arial"/>
        </w:rPr>
        <w:t>ře</w:t>
      </w:r>
      <w:r w:rsidR="00A533AC">
        <w:rPr>
          <w:rFonts w:cs="Arial"/>
        </w:rPr>
        <w:t xml:space="preserve"> při rozhodov</w:t>
      </w:r>
      <w:bookmarkStart w:id="0" w:name="_GoBack"/>
      <w:bookmarkEnd w:id="0"/>
      <w:r w:rsidR="00A533AC">
        <w:rPr>
          <w:rFonts w:cs="Arial"/>
        </w:rPr>
        <w:t>ání sporů</w:t>
      </w:r>
    </w:p>
    <w:p w14:paraId="0A2A34C0" w14:textId="77777777" w:rsidR="008C444C" w:rsidRPr="00975ACC" w:rsidRDefault="008C444C">
      <w:pPr>
        <w:overflowPunct/>
        <w:autoSpaceDE/>
        <w:autoSpaceDN/>
        <w:adjustRightInd/>
        <w:spacing w:after="160" w:line="259" w:lineRule="auto"/>
        <w:textAlignment w:val="auto"/>
        <w:rPr>
          <w:rFonts w:ascii="Arial" w:hAnsi="Arial" w:cs="Arial"/>
          <w:b/>
          <w:bCs/>
          <w:sz w:val="40"/>
          <w:szCs w:val="40"/>
        </w:rPr>
      </w:pPr>
      <w:r w:rsidRPr="000C234A">
        <w:rPr>
          <w:rFonts w:ascii="Arial" w:hAnsi="Arial" w:cs="Arial"/>
        </w:rPr>
        <w:br w:type="page"/>
      </w:r>
    </w:p>
    <w:p w14:paraId="10365D01" w14:textId="77777777" w:rsidR="008C444C" w:rsidRPr="00975ACC" w:rsidRDefault="002C52CF" w:rsidP="00F67923">
      <w:pPr>
        <w:pStyle w:val="Vvojcen-podnadpis"/>
      </w:pPr>
      <w:r w:rsidRPr="00975ACC">
        <w:lastRenderedPageBreak/>
        <w:t>Obsah</w:t>
      </w:r>
    </w:p>
    <w:sdt>
      <w:sdtPr>
        <w:rPr>
          <w:rFonts w:ascii="Times New Roman" w:eastAsia="Times New Roman" w:hAnsi="Times New Roman" w:cs="Times New Roman"/>
          <w:color w:val="auto"/>
          <w:sz w:val="20"/>
          <w:szCs w:val="20"/>
        </w:rPr>
        <w:id w:val="-2021540181"/>
        <w:docPartObj>
          <w:docPartGallery w:val="Table of Contents"/>
          <w:docPartUnique/>
        </w:docPartObj>
      </w:sdtPr>
      <w:sdtEndPr>
        <w:rPr>
          <w:b/>
          <w:bCs/>
        </w:rPr>
      </w:sdtEndPr>
      <w:sdtContent>
        <w:p w14:paraId="5A37F986" w14:textId="77777777" w:rsidR="00CA4021" w:rsidRDefault="00CA4021">
          <w:pPr>
            <w:pStyle w:val="Nadpisobsahu"/>
          </w:pPr>
        </w:p>
        <w:p w14:paraId="306C66AB" w14:textId="3B32AAC3" w:rsidR="00CA4021" w:rsidRDefault="00CA4021">
          <w:pPr>
            <w:pStyle w:val="Obsah1"/>
            <w:tabs>
              <w:tab w:val="left" w:pos="400"/>
              <w:tab w:val="right" w:leader="dot" w:pos="9062"/>
            </w:tabs>
            <w:rPr>
              <w:rFonts w:eastAsiaTheme="minorEastAsia" w:cstheme="minorBidi"/>
              <w:b w:val="0"/>
              <w:bCs w:val="0"/>
              <w:i w:val="0"/>
              <w:iCs w:val="0"/>
              <w:noProof/>
              <w:sz w:val="22"/>
              <w:szCs w:val="22"/>
            </w:rPr>
          </w:pPr>
          <w:r>
            <w:fldChar w:fldCharType="begin"/>
          </w:r>
          <w:r>
            <w:instrText xml:space="preserve"> TOC \o "1-3" \h \z \u </w:instrText>
          </w:r>
          <w:r>
            <w:fldChar w:fldCharType="separate"/>
          </w:r>
          <w:hyperlink w:anchor="_Toc496518782" w:history="1">
            <w:r w:rsidRPr="00F878AE">
              <w:rPr>
                <w:rStyle w:val="Hypertextovodkaz"/>
                <w:noProof/>
              </w:rPr>
              <w:t>1</w:t>
            </w:r>
            <w:r>
              <w:rPr>
                <w:rFonts w:eastAsiaTheme="minorEastAsia" w:cstheme="minorBidi"/>
                <w:b w:val="0"/>
                <w:bCs w:val="0"/>
                <w:i w:val="0"/>
                <w:iCs w:val="0"/>
                <w:noProof/>
                <w:sz w:val="22"/>
                <w:szCs w:val="22"/>
              </w:rPr>
              <w:tab/>
            </w:r>
            <w:r w:rsidRPr="00F878AE">
              <w:rPr>
                <w:rStyle w:val="Hypertextovodkaz"/>
                <w:noProof/>
              </w:rPr>
              <w:t>Úvod a vymezení pojmů</w:t>
            </w:r>
            <w:r>
              <w:rPr>
                <w:noProof/>
                <w:webHidden/>
              </w:rPr>
              <w:tab/>
            </w:r>
            <w:r>
              <w:rPr>
                <w:noProof/>
                <w:webHidden/>
              </w:rPr>
              <w:fldChar w:fldCharType="begin"/>
            </w:r>
            <w:r>
              <w:rPr>
                <w:noProof/>
                <w:webHidden/>
              </w:rPr>
              <w:instrText xml:space="preserve"> PAGEREF _Toc496518782 \h </w:instrText>
            </w:r>
            <w:r>
              <w:rPr>
                <w:noProof/>
                <w:webHidden/>
              </w:rPr>
            </w:r>
            <w:r>
              <w:rPr>
                <w:noProof/>
                <w:webHidden/>
              </w:rPr>
              <w:fldChar w:fldCharType="separate"/>
            </w:r>
            <w:r w:rsidR="00E30BFE">
              <w:rPr>
                <w:noProof/>
                <w:webHidden/>
              </w:rPr>
              <w:t>3</w:t>
            </w:r>
            <w:r>
              <w:rPr>
                <w:noProof/>
                <w:webHidden/>
              </w:rPr>
              <w:fldChar w:fldCharType="end"/>
            </w:r>
          </w:hyperlink>
        </w:p>
        <w:p w14:paraId="49AB888F" w14:textId="7E44D0FB" w:rsidR="00CA4021" w:rsidRDefault="00E30BFE">
          <w:pPr>
            <w:pStyle w:val="Obsah1"/>
            <w:tabs>
              <w:tab w:val="left" w:pos="400"/>
              <w:tab w:val="right" w:leader="dot" w:pos="9062"/>
            </w:tabs>
            <w:rPr>
              <w:rFonts w:eastAsiaTheme="minorEastAsia" w:cstheme="minorBidi"/>
              <w:b w:val="0"/>
              <w:bCs w:val="0"/>
              <w:i w:val="0"/>
              <w:iCs w:val="0"/>
              <w:noProof/>
              <w:sz w:val="22"/>
              <w:szCs w:val="22"/>
            </w:rPr>
          </w:pPr>
          <w:hyperlink w:anchor="_Toc496518783" w:history="1">
            <w:r w:rsidR="00CA4021" w:rsidRPr="00F878AE">
              <w:rPr>
                <w:rStyle w:val="Hypertextovodkaz"/>
                <w:rFonts w:eastAsia="MS Mincho"/>
                <w:noProof/>
                <w:lang w:eastAsia="ja-JP"/>
              </w:rPr>
              <w:t>2</w:t>
            </w:r>
            <w:r w:rsidR="00CA4021">
              <w:rPr>
                <w:rFonts w:eastAsiaTheme="minorEastAsia" w:cstheme="minorBidi"/>
                <w:b w:val="0"/>
                <w:bCs w:val="0"/>
                <w:i w:val="0"/>
                <w:iCs w:val="0"/>
                <w:noProof/>
                <w:sz w:val="22"/>
                <w:szCs w:val="22"/>
              </w:rPr>
              <w:tab/>
            </w:r>
            <w:r w:rsidR="00CA4021" w:rsidRPr="00F878AE">
              <w:rPr>
                <w:rStyle w:val="Hypertextovodkaz"/>
                <w:rFonts w:eastAsia="MS Mincho"/>
                <w:noProof/>
                <w:lang w:eastAsia="ja-JP"/>
              </w:rPr>
              <w:t>Měsíční ceny za pronájem fyzické infrastruktury</w:t>
            </w:r>
            <w:r w:rsidR="00CA4021">
              <w:rPr>
                <w:noProof/>
                <w:webHidden/>
              </w:rPr>
              <w:tab/>
            </w:r>
            <w:r w:rsidR="00CA4021">
              <w:rPr>
                <w:noProof/>
                <w:webHidden/>
              </w:rPr>
              <w:fldChar w:fldCharType="begin"/>
            </w:r>
            <w:r w:rsidR="00CA4021">
              <w:rPr>
                <w:noProof/>
                <w:webHidden/>
              </w:rPr>
              <w:instrText xml:space="preserve"> PAGEREF _Toc496518783 \h </w:instrText>
            </w:r>
            <w:r w:rsidR="00CA4021">
              <w:rPr>
                <w:noProof/>
                <w:webHidden/>
              </w:rPr>
            </w:r>
            <w:r w:rsidR="00CA4021">
              <w:rPr>
                <w:noProof/>
                <w:webHidden/>
              </w:rPr>
              <w:fldChar w:fldCharType="separate"/>
            </w:r>
            <w:r>
              <w:rPr>
                <w:noProof/>
                <w:webHidden/>
              </w:rPr>
              <w:t>3</w:t>
            </w:r>
            <w:r w:rsidR="00CA4021">
              <w:rPr>
                <w:noProof/>
                <w:webHidden/>
              </w:rPr>
              <w:fldChar w:fldCharType="end"/>
            </w:r>
          </w:hyperlink>
        </w:p>
        <w:p w14:paraId="54A2B901" w14:textId="3BBD1AD2" w:rsidR="00CA4021" w:rsidRDefault="00E30BFE">
          <w:pPr>
            <w:pStyle w:val="Obsah2"/>
            <w:tabs>
              <w:tab w:val="left" w:pos="800"/>
              <w:tab w:val="right" w:leader="dot" w:pos="9062"/>
            </w:tabs>
            <w:rPr>
              <w:rFonts w:eastAsiaTheme="minorEastAsia" w:cstheme="minorBidi"/>
              <w:b w:val="0"/>
              <w:bCs w:val="0"/>
              <w:noProof/>
            </w:rPr>
          </w:pPr>
          <w:hyperlink w:anchor="_Toc496518784" w:history="1">
            <w:r w:rsidR="00CA4021" w:rsidRPr="00F878AE">
              <w:rPr>
                <w:rStyle w:val="Hypertextovodkaz"/>
                <w:rFonts w:eastAsia="MS Mincho"/>
                <w:noProof/>
                <w:lang w:eastAsia="ja-JP"/>
              </w:rPr>
              <w:t>2.1</w:t>
            </w:r>
            <w:r w:rsidR="00CA4021">
              <w:rPr>
                <w:rFonts w:eastAsiaTheme="minorEastAsia" w:cstheme="minorBidi"/>
                <w:b w:val="0"/>
                <w:bCs w:val="0"/>
                <w:noProof/>
              </w:rPr>
              <w:tab/>
            </w:r>
            <w:r w:rsidR="00CA4021" w:rsidRPr="00F878AE">
              <w:rPr>
                <w:rStyle w:val="Hypertextovodkaz"/>
                <w:rFonts w:eastAsia="MS Mincho"/>
                <w:noProof/>
                <w:lang w:eastAsia="ja-JP"/>
              </w:rPr>
              <w:t>Výpočet ročních odpisů</w:t>
            </w:r>
            <w:r w:rsidR="00CA4021">
              <w:rPr>
                <w:noProof/>
                <w:webHidden/>
              </w:rPr>
              <w:tab/>
            </w:r>
            <w:r w:rsidR="00CA4021">
              <w:rPr>
                <w:noProof/>
                <w:webHidden/>
              </w:rPr>
              <w:fldChar w:fldCharType="begin"/>
            </w:r>
            <w:r w:rsidR="00CA4021">
              <w:rPr>
                <w:noProof/>
                <w:webHidden/>
              </w:rPr>
              <w:instrText xml:space="preserve"> PAGEREF _Toc496518784 \h </w:instrText>
            </w:r>
            <w:r w:rsidR="00CA4021">
              <w:rPr>
                <w:noProof/>
                <w:webHidden/>
              </w:rPr>
            </w:r>
            <w:r w:rsidR="00CA4021">
              <w:rPr>
                <w:noProof/>
                <w:webHidden/>
              </w:rPr>
              <w:fldChar w:fldCharType="separate"/>
            </w:r>
            <w:r>
              <w:rPr>
                <w:noProof/>
                <w:webHidden/>
              </w:rPr>
              <w:t>5</w:t>
            </w:r>
            <w:r w:rsidR="00CA4021">
              <w:rPr>
                <w:noProof/>
                <w:webHidden/>
              </w:rPr>
              <w:fldChar w:fldCharType="end"/>
            </w:r>
          </w:hyperlink>
        </w:p>
        <w:p w14:paraId="01A03A27" w14:textId="7365D079" w:rsidR="00CA4021" w:rsidRDefault="00E30BFE">
          <w:pPr>
            <w:pStyle w:val="Obsah3"/>
            <w:tabs>
              <w:tab w:val="left" w:pos="1200"/>
              <w:tab w:val="right" w:leader="dot" w:pos="9062"/>
            </w:tabs>
            <w:rPr>
              <w:rFonts w:eastAsiaTheme="minorEastAsia" w:cstheme="minorBidi"/>
              <w:noProof/>
              <w:sz w:val="22"/>
              <w:szCs w:val="22"/>
            </w:rPr>
          </w:pPr>
          <w:hyperlink w:anchor="_Toc496518785" w:history="1">
            <w:r w:rsidR="00CA4021" w:rsidRPr="00F878AE">
              <w:rPr>
                <w:rStyle w:val="Hypertextovodkaz"/>
                <w:noProof/>
              </w:rPr>
              <w:t>2.1.1</w:t>
            </w:r>
            <w:r w:rsidR="00CA4021">
              <w:rPr>
                <w:rFonts w:eastAsiaTheme="minorEastAsia" w:cstheme="minorBidi"/>
                <w:noProof/>
                <w:sz w:val="22"/>
                <w:szCs w:val="22"/>
              </w:rPr>
              <w:tab/>
            </w:r>
            <w:r w:rsidR="00CA4021" w:rsidRPr="00F878AE">
              <w:rPr>
                <w:rStyle w:val="Hypertextovodkaz"/>
                <w:noProof/>
              </w:rPr>
              <w:t>Potrubí</w:t>
            </w:r>
            <w:r w:rsidR="00CA4021">
              <w:rPr>
                <w:noProof/>
                <w:webHidden/>
              </w:rPr>
              <w:tab/>
            </w:r>
            <w:r w:rsidR="00CA4021">
              <w:rPr>
                <w:noProof/>
                <w:webHidden/>
              </w:rPr>
              <w:fldChar w:fldCharType="begin"/>
            </w:r>
            <w:r w:rsidR="00CA4021">
              <w:rPr>
                <w:noProof/>
                <w:webHidden/>
              </w:rPr>
              <w:instrText xml:space="preserve"> PAGEREF _Toc496518785 \h </w:instrText>
            </w:r>
            <w:r w:rsidR="00CA4021">
              <w:rPr>
                <w:noProof/>
                <w:webHidden/>
              </w:rPr>
            </w:r>
            <w:r w:rsidR="00CA4021">
              <w:rPr>
                <w:noProof/>
                <w:webHidden/>
              </w:rPr>
              <w:fldChar w:fldCharType="separate"/>
            </w:r>
            <w:r>
              <w:rPr>
                <w:noProof/>
                <w:webHidden/>
              </w:rPr>
              <w:t>6</w:t>
            </w:r>
            <w:r w:rsidR="00CA4021">
              <w:rPr>
                <w:noProof/>
                <w:webHidden/>
              </w:rPr>
              <w:fldChar w:fldCharType="end"/>
            </w:r>
          </w:hyperlink>
        </w:p>
        <w:p w14:paraId="7AE39506" w14:textId="47EFA438" w:rsidR="00CA4021" w:rsidRDefault="00E30BFE">
          <w:pPr>
            <w:pStyle w:val="Obsah3"/>
            <w:tabs>
              <w:tab w:val="left" w:pos="1200"/>
              <w:tab w:val="right" w:leader="dot" w:pos="9062"/>
            </w:tabs>
            <w:rPr>
              <w:rFonts w:eastAsiaTheme="minorEastAsia" w:cstheme="minorBidi"/>
              <w:noProof/>
              <w:sz w:val="22"/>
              <w:szCs w:val="22"/>
            </w:rPr>
          </w:pPr>
          <w:hyperlink w:anchor="_Toc496518786" w:history="1">
            <w:r w:rsidR="00CA4021" w:rsidRPr="00F878AE">
              <w:rPr>
                <w:rStyle w:val="Hypertextovodkaz"/>
                <w:noProof/>
              </w:rPr>
              <w:t>2.1.2</w:t>
            </w:r>
            <w:r w:rsidR="00CA4021">
              <w:rPr>
                <w:rFonts w:eastAsiaTheme="minorEastAsia" w:cstheme="minorBidi"/>
                <w:noProof/>
                <w:sz w:val="22"/>
                <w:szCs w:val="22"/>
              </w:rPr>
              <w:tab/>
            </w:r>
            <w:r w:rsidR="00CA4021" w:rsidRPr="00F878AE">
              <w:rPr>
                <w:rStyle w:val="Hypertextovodkaz"/>
                <w:noProof/>
              </w:rPr>
              <w:t>Stožáry</w:t>
            </w:r>
            <w:r w:rsidR="00CA4021">
              <w:rPr>
                <w:noProof/>
                <w:webHidden/>
              </w:rPr>
              <w:tab/>
            </w:r>
            <w:r w:rsidR="00CA4021">
              <w:rPr>
                <w:noProof/>
                <w:webHidden/>
              </w:rPr>
              <w:fldChar w:fldCharType="begin"/>
            </w:r>
            <w:r w:rsidR="00CA4021">
              <w:rPr>
                <w:noProof/>
                <w:webHidden/>
              </w:rPr>
              <w:instrText xml:space="preserve"> PAGEREF _Toc496518786 \h </w:instrText>
            </w:r>
            <w:r w:rsidR="00CA4021">
              <w:rPr>
                <w:noProof/>
                <w:webHidden/>
              </w:rPr>
            </w:r>
            <w:r w:rsidR="00CA4021">
              <w:rPr>
                <w:noProof/>
                <w:webHidden/>
              </w:rPr>
              <w:fldChar w:fldCharType="separate"/>
            </w:r>
            <w:r>
              <w:rPr>
                <w:noProof/>
                <w:webHidden/>
              </w:rPr>
              <w:t>7</w:t>
            </w:r>
            <w:r w:rsidR="00CA4021">
              <w:rPr>
                <w:noProof/>
                <w:webHidden/>
              </w:rPr>
              <w:fldChar w:fldCharType="end"/>
            </w:r>
          </w:hyperlink>
        </w:p>
        <w:p w14:paraId="07D9037E" w14:textId="2949BB27" w:rsidR="00CA4021" w:rsidRDefault="00E30BFE">
          <w:pPr>
            <w:pStyle w:val="Obsah3"/>
            <w:tabs>
              <w:tab w:val="left" w:pos="1200"/>
              <w:tab w:val="right" w:leader="dot" w:pos="9062"/>
            </w:tabs>
            <w:rPr>
              <w:rFonts w:eastAsiaTheme="minorEastAsia" w:cstheme="minorBidi"/>
              <w:noProof/>
              <w:sz w:val="22"/>
              <w:szCs w:val="22"/>
            </w:rPr>
          </w:pPr>
          <w:hyperlink w:anchor="_Toc496518787" w:history="1">
            <w:r w:rsidR="00CA4021" w:rsidRPr="00F878AE">
              <w:rPr>
                <w:rStyle w:val="Hypertextovodkaz"/>
                <w:noProof/>
              </w:rPr>
              <w:t>2.1.3</w:t>
            </w:r>
            <w:r w:rsidR="00CA4021">
              <w:rPr>
                <w:rFonts w:eastAsiaTheme="minorEastAsia" w:cstheme="minorBidi"/>
                <w:noProof/>
                <w:sz w:val="22"/>
                <w:szCs w:val="22"/>
              </w:rPr>
              <w:tab/>
            </w:r>
            <w:r w:rsidR="00CA4021" w:rsidRPr="00F878AE">
              <w:rPr>
                <w:rStyle w:val="Hypertextovodkaz"/>
                <w:noProof/>
              </w:rPr>
              <w:t>Kabelovody</w:t>
            </w:r>
            <w:r w:rsidR="00CA4021">
              <w:rPr>
                <w:noProof/>
                <w:webHidden/>
              </w:rPr>
              <w:tab/>
            </w:r>
            <w:r w:rsidR="00CA4021">
              <w:rPr>
                <w:noProof/>
                <w:webHidden/>
              </w:rPr>
              <w:fldChar w:fldCharType="begin"/>
            </w:r>
            <w:r w:rsidR="00CA4021">
              <w:rPr>
                <w:noProof/>
                <w:webHidden/>
              </w:rPr>
              <w:instrText xml:space="preserve"> PAGEREF _Toc496518787 \h </w:instrText>
            </w:r>
            <w:r w:rsidR="00CA4021">
              <w:rPr>
                <w:noProof/>
                <w:webHidden/>
              </w:rPr>
            </w:r>
            <w:r w:rsidR="00CA4021">
              <w:rPr>
                <w:noProof/>
                <w:webHidden/>
              </w:rPr>
              <w:fldChar w:fldCharType="separate"/>
            </w:r>
            <w:r>
              <w:rPr>
                <w:noProof/>
                <w:webHidden/>
              </w:rPr>
              <w:t>8</w:t>
            </w:r>
            <w:r w:rsidR="00CA4021">
              <w:rPr>
                <w:noProof/>
                <w:webHidden/>
              </w:rPr>
              <w:fldChar w:fldCharType="end"/>
            </w:r>
          </w:hyperlink>
        </w:p>
        <w:p w14:paraId="2B679E9D" w14:textId="5C4F9A42" w:rsidR="00CA4021" w:rsidRDefault="00E30BFE">
          <w:pPr>
            <w:pStyle w:val="Obsah3"/>
            <w:tabs>
              <w:tab w:val="left" w:pos="1200"/>
              <w:tab w:val="right" w:leader="dot" w:pos="9062"/>
            </w:tabs>
            <w:rPr>
              <w:rFonts w:eastAsiaTheme="minorEastAsia" w:cstheme="minorBidi"/>
              <w:noProof/>
              <w:sz w:val="22"/>
              <w:szCs w:val="22"/>
            </w:rPr>
          </w:pPr>
          <w:hyperlink w:anchor="_Toc496518790" w:history="1">
            <w:r w:rsidR="00CA4021" w:rsidRPr="00F878AE">
              <w:rPr>
                <w:rStyle w:val="Hypertextovodkaz"/>
                <w:noProof/>
              </w:rPr>
              <w:t>2.1.4</w:t>
            </w:r>
            <w:r w:rsidR="00CA4021">
              <w:rPr>
                <w:rFonts w:eastAsiaTheme="minorEastAsia" w:cstheme="minorBidi"/>
                <w:noProof/>
                <w:sz w:val="22"/>
                <w:szCs w:val="22"/>
              </w:rPr>
              <w:tab/>
            </w:r>
            <w:r w:rsidR="00CA4021" w:rsidRPr="00F878AE">
              <w:rPr>
                <w:rStyle w:val="Hypertextovodkaz"/>
                <w:noProof/>
              </w:rPr>
              <w:t>Kolektory</w:t>
            </w:r>
            <w:r w:rsidR="00CA4021">
              <w:rPr>
                <w:noProof/>
                <w:webHidden/>
              </w:rPr>
              <w:tab/>
            </w:r>
            <w:r w:rsidR="00CA4021">
              <w:rPr>
                <w:noProof/>
                <w:webHidden/>
              </w:rPr>
              <w:fldChar w:fldCharType="begin"/>
            </w:r>
            <w:r w:rsidR="00CA4021">
              <w:rPr>
                <w:noProof/>
                <w:webHidden/>
              </w:rPr>
              <w:instrText xml:space="preserve"> PAGEREF _Toc496518790 \h </w:instrText>
            </w:r>
            <w:r w:rsidR="00CA4021">
              <w:rPr>
                <w:noProof/>
                <w:webHidden/>
              </w:rPr>
            </w:r>
            <w:r w:rsidR="00CA4021">
              <w:rPr>
                <w:noProof/>
                <w:webHidden/>
              </w:rPr>
              <w:fldChar w:fldCharType="separate"/>
            </w:r>
            <w:r>
              <w:rPr>
                <w:noProof/>
                <w:webHidden/>
              </w:rPr>
              <w:t>9</w:t>
            </w:r>
            <w:r w:rsidR="00CA4021">
              <w:rPr>
                <w:noProof/>
                <w:webHidden/>
              </w:rPr>
              <w:fldChar w:fldCharType="end"/>
            </w:r>
          </w:hyperlink>
        </w:p>
        <w:p w14:paraId="413CBC76" w14:textId="5914B412" w:rsidR="00CA4021" w:rsidRDefault="00E30BFE">
          <w:pPr>
            <w:pStyle w:val="Obsah3"/>
            <w:tabs>
              <w:tab w:val="left" w:pos="1200"/>
              <w:tab w:val="right" w:leader="dot" w:pos="9062"/>
            </w:tabs>
            <w:rPr>
              <w:rFonts w:eastAsiaTheme="minorEastAsia" w:cstheme="minorBidi"/>
              <w:noProof/>
              <w:sz w:val="22"/>
              <w:szCs w:val="22"/>
            </w:rPr>
          </w:pPr>
          <w:hyperlink w:anchor="_Toc496518791" w:history="1">
            <w:r w:rsidR="00CA4021" w:rsidRPr="00F878AE">
              <w:rPr>
                <w:rStyle w:val="Hypertextovodkaz"/>
                <w:noProof/>
              </w:rPr>
              <w:t>2.1.5</w:t>
            </w:r>
            <w:r w:rsidR="00CA4021">
              <w:rPr>
                <w:rFonts w:eastAsiaTheme="minorEastAsia" w:cstheme="minorBidi"/>
                <w:noProof/>
                <w:sz w:val="22"/>
                <w:szCs w:val="22"/>
              </w:rPr>
              <w:tab/>
            </w:r>
            <w:r w:rsidR="00CA4021" w:rsidRPr="00F878AE">
              <w:rPr>
                <w:rStyle w:val="Hypertextovodkaz"/>
                <w:noProof/>
              </w:rPr>
              <w:t>Inspekční komory</w:t>
            </w:r>
            <w:r w:rsidR="00CA4021">
              <w:rPr>
                <w:noProof/>
                <w:webHidden/>
              </w:rPr>
              <w:tab/>
            </w:r>
            <w:r w:rsidR="00CA4021">
              <w:rPr>
                <w:noProof/>
                <w:webHidden/>
              </w:rPr>
              <w:fldChar w:fldCharType="begin"/>
            </w:r>
            <w:r w:rsidR="00CA4021">
              <w:rPr>
                <w:noProof/>
                <w:webHidden/>
              </w:rPr>
              <w:instrText xml:space="preserve"> PAGEREF _Toc496518791 \h </w:instrText>
            </w:r>
            <w:r w:rsidR="00CA4021">
              <w:rPr>
                <w:noProof/>
                <w:webHidden/>
              </w:rPr>
            </w:r>
            <w:r w:rsidR="00CA4021">
              <w:rPr>
                <w:noProof/>
                <w:webHidden/>
              </w:rPr>
              <w:fldChar w:fldCharType="separate"/>
            </w:r>
            <w:r>
              <w:rPr>
                <w:noProof/>
                <w:webHidden/>
              </w:rPr>
              <w:t>9</w:t>
            </w:r>
            <w:r w:rsidR="00CA4021">
              <w:rPr>
                <w:noProof/>
                <w:webHidden/>
              </w:rPr>
              <w:fldChar w:fldCharType="end"/>
            </w:r>
          </w:hyperlink>
        </w:p>
        <w:p w14:paraId="5216C306" w14:textId="3A2C7658" w:rsidR="00CA4021" w:rsidRDefault="00E30BFE">
          <w:pPr>
            <w:pStyle w:val="Obsah3"/>
            <w:tabs>
              <w:tab w:val="left" w:pos="1200"/>
              <w:tab w:val="right" w:leader="dot" w:pos="9062"/>
            </w:tabs>
            <w:rPr>
              <w:rFonts w:eastAsiaTheme="minorEastAsia" w:cstheme="minorBidi"/>
              <w:noProof/>
              <w:sz w:val="22"/>
              <w:szCs w:val="22"/>
            </w:rPr>
          </w:pPr>
          <w:hyperlink w:anchor="_Toc496518792" w:history="1">
            <w:r w:rsidR="00CA4021" w:rsidRPr="00F878AE">
              <w:rPr>
                <w:rStyle w:val="Hypertextovodkaz"/>
                <w:noProof/>
              </w:rPr>
              <w:t>2.1.6</w:t>
            </w:r>
            <w:r w:rsidR="00CA4021">
              <w:rPr>
                <w:rFonts w:eastAsiaTheme="minorEastAsia" w:cstheme="minorBidi"/>
                <w:noProof/>
                <w:sz w:val="22"/>
                <w:szCs w:val="22"/>
              </w:rPr>
              <w:tab/>
            </w:r>
            <w:r w:rsidR="00CA4021" w:rsidRPr="00F878AE">
              <w:rPr>
                <w:rStyle w:val="Hypertextovodkaz"/>
                <w:noProof/>
              </w:rPr>
              <w:t>Vstupní šachty</w:t>
            </w:r>
            <w:r w:rsidR="00CA4021">
              <w:rPr>
                <w:noProof/>
                <w:webHidden/>
              </w:rPr>
              <w:tab/>
            </w:r>
            <w:r w:rsidR="00CA4021">
              <w:rPr>
                <w:noProof/>
                <w:webHidden/>
              </w:rPr>
              <w:fldChar w:fldCharType="begin"/>
            </w:r>
            <w:r w:rsidR="00CA4021">
              <w:rPr>
                <w:noProof/>
                <w:webHidden/>
              </w:rPr>
              <w:instrText xml:space="preserve"> PAGEREF _Toc496518792 \h </w:instrText>
            </w:r>
            <w:r w:rsidR="00CA4021">
              <w:rPr>
                <w:noProof/>
                <w:webHidden/>
              </w:rPr>
            </w:r>
            <w:r w:rsidR="00CA4021">
              <w:rPr>
                <w:noProof/>
                <w:webHidden/>
              </w:rPr>
              <w:fldChar w:fldCharType="separate"/>
            </w:r>
            <w:r>
              <w:rPr>
                <w:noProof/>
                <w:webHidden/>
              </w:rPr>
              <w:t>9</w:t>
            </w:r>
            <w:r w:rsidR="00CA4021">
              <w:rPr>
                <w:noProof/>
                <w:webHidden/>
              </w:rPr>
              <w:fldChar w:fldCharType="end"/>
            </w:r>
          </w:hyperlink>
        </w:p>
        <w:p w14:paraId="4E4493F2" w14:textId="6BAFDDEA" w:rsidR="00CA4021" w:rsidRDefault="00E30BFE">
          <w:pPr>
            <w:pStyle w:val="Obsah3"/>
            <w:tabs>
              <w:tab w:val="left" w:pos="1200"/>
              <w:tab w:val="right" w:leader="dot" w:pos="9062"/>
            </w:tabs>
            <w:rPr>
              <w:rFonts w:eastAsiaTheme="minorEastAsia" w:cstheme="minorBidi"/>
              <w:noProof/>
              <w:sz w:val="22"/>
              <w:szCs w:val="22"/>
            </w:rPr>
          </w:pPr>
          <w:hyperlink w:anchor="_Toc496518793" w:history="1">
            <w:r w:rsidR="00CA4021" w:rsidRPr="00F878AE">
              <w:rPr>
                <w:rStyle w:val="Hypertextovodkaz"/>
                <w:noProof/>
              </w:rPr>
              <w:t>2.1.7</w:t>
            </w:r>
            <w:r w:rsidR="00CA4021">
              <w:rPr>
                <w:rFonts w:eastAsiaTheme="minorEastAsia" w:cstheme="minorBidi"/>
                <w:noProof/>
                <w:sz w:val="22"/>
                <w:szCs w:val="22"/>
              </w:rPr>
              <w:tab/>
            </w:r>
            <w:r w:rsidR="00CA4021" w:rsidRPr="00F878AE">
              <w:rPr>
                <w:rStyle w:val="Hypertextovodkaz"/>
                <w:noProof/>
              </w:rPr>
              <w:t>Rozvodné skříně</w:t>
            </w:r>
            <w:r w:rsidR="00CA4021">
              <w:rPr>
                <w:noProof/>
                <w:webHidden/>
              </w:rPr>
              <w:tab/>
            </w:r>
            <w:r w:rsidR="00CA4021">
              <w:rPr>
                <w:noProof/>
                <w:webHidden/>
              </w:rPr>
              <w:fldChar w:fldCharType="begin"/>
            </w:r>
            <w:r w:rsidR="00CA4021">
              <w:rPr>
                <w:noProof/>
                <w:webHidden/>
              </w:rPr>
              <w:instrText xml:space="preserve"> PAGEREF _Toc496518793 \h </w:instrText>
            </w:r>
            <w:r w:rsidR="00CA4021">
              <w:rPr>
                <w:noProof/>
                <w:webHidden/>
              </w:rPr>
            </w:r>
            <w:r w:rsidR="00CA4021">
              <w:rPr>
                <w:noProof/>
                <w:webHidden/>
              </w:rPr>
              <w:fldChar w:fldCharType="separate"/>
            </w:r>
            <w:r>
              <w:rPr>
                <w:noProof/>
                <w:webHidden/>
              </w:rPr>
              <w:t>9</w:t>
            </w:r>
            <w:r w:rsidR="00CA4021">
              <w:rPr>
                <w:noProof/>
                <w:webHidden/>
              </w:rPr>
              <w:fldChar w:fldCharType="end"/>
            </w:r>
          </w:hyperlink>
        </w:p>
        <w:p w14:paraId="37EC91CB" w14:textId="686770A9" w:rsidR="00CA4021" w:rsidRDefault="00E30BFE">
          <w:pPr>
            <w:pStyle w:val="Obsah3"/>
            <w:tabs>
              <w:tab w:val="left" w:pos="1200"/>
              <w:tab w:val="right" w:leader="dot" w:pos="9062"/>
            </w:tabs>
            <w:rPr>
              <w:rFonts w:eastAsiaTheme="minorEastAsia" w:cstheme="minorBidi"/>
              <w:noProof/>
              <w:sz w:val="22"/>
              <w:szCs w:val="22"/>
            </w:rPr>
          </w:pPr>
          <w:hyperlink w:anchor="_Toc496518794" w:history="1">
            <w:r w:rsidR="00CA4021" w:rsidRPr="00F878AE">
              <w:rPr>
                <w:rStyle w:val="Hypertextovodkaz"/>
                <w:noProof/>
              </w:rPr>
              <w:t>2.1.8</w:t>
            </w:r>
            <w:r w:rsidR="00CA4021">
              <w:rPr>
                <w:rFonts w:eastAsiaTheme="minorEastAsia" w:cstheme="minorBidi"/>
                <w:noProof/>
                <w:sz w:val="22"/>
                <w:szCs w:val="22"/>
              </w:rPr>
              <w:tab/>
            </w:r>
            <w:r w:rsidR="00CA4021" w:rsidRPr="00F878AE">
              <w:rPr>
                <w:rStyle w:val="Hypertextovodkaz"/>
                <w:noProof/>
              </w:rPr>
              <w:t>Budovy a vstupy do budov</w:t>
            </w:r>
            <w:r w:rsidR="00CA4021">
              <w:rPr>
                <w:noProof/>
                <w:webHidden/>
              </w:rPr>
              <w:tab/>
            </w:r>
            <w:r w:rsidR="00CA4021">
              <w:rPr>
                <w:noProof/>
                <w:webHidden/>
              </w:rPr>
              <w:fldChar w:fldCharType="begin"/>
            </w:r>
            <w:r w:rsidR="00CA4021">
              <w:rPr>
                <w:noProof/>
                <w:webHidden/>
              </w:rPr>
              <w:instrText xml:space="preserve"> PAGEREF _Toc496518794 \h </w:instrText>
            </w:r>
            <w:r w:rsidR="00CA4021">
              <w:rPr>
                <w:noProof/>
                <w:webHidden/>
              </w:rPr>
            </w:r>
            <w:r w:rsidR="00CA4021">
              <w:rPr>
                <w:noProof/>
                <w:webHidden/>
              </w:rPr>
              <w:fldChar w:fldCharType="separate"/>
            </w:r>
            <w:r>
              <w:rPr>
                <w:noProof/>
                <w:webHidden/>
              </w:rPr>
              <w:t>10</w:t>
            </w:r>
            <w:r w:rsidR="00CA4021">
              <w:rPr>
                <w:noProof/>
                <w:webHidden/>
              </w:rPr>
              <w:fldChar w:fldCharType="end"/>
            </w:r>
          </w:hyperlink>
        </w:p>
        <w:p w14:paraId="09A1DB49" w14:textId="21B667A1" w:rsidR="00CA4021" w:rsidRDefault="00E30BFE">
          <w:pPr>
            <w:pStyle w:val="Obsah3"/>
            <w:tabs>
              <w:tab w:val="left" w:pos="1200"/>
              <w:tab w:val="right" w:leader="dot" w:pos="9062"/>
            </w:tabs>
            <w:rPr>
              <w:rFonts w:eastAsiaTheme="minorEastAsia" w:cstheme="minorBidi"/>
              <w:noProof/>
              <w:sz w:val="22"/>
              <w:szCs w:val="22"/>
            </w:rPr>
          </w:pPr>
          <w:hyperlink w:anchor="_Toc496518795" w:history="1">
            <w:r w:rsidR="00CA4021" w:rsidRPr="00F878AE">
              <w:rPr>
                <w:rStyle w:val="Hypertextovodkaz"/>
                <w:noProof/>
              </w:rPr>
              <w:t>2.1.9</w:t>
            </w:r>
            <w:r w:rsidR="00CA4021">
              <w:rPr>
                <w:rFonts w:eastAsiaTheme="minorEastAsia" w:cstheme="minorBidi"/>
                <w:noProof/>
                <w:sz w:val="22"/>
                <w:szCs w:val="22"/>
              </w:rPr>
              <w:tab/>
            </w:r>
            <w:r w:rsidR="00CA4021" w:rsidRPr="00F878AE">
              <w:rPr>
                <w:rStyle w:val="Hypertextovodkaz"/>
                <w:noProof/>
              </w:rPr>
              <w:t>Anténní nosiče</w:t>
            </w:r>
            <w:r w:rsidR="00CA4021">
              <w:rPr>
                <w:noProof/>
                <w:webHidden/>
              </w:rPr>
              <w:tab/>
            </w:r>
            <w:r w:rsidR="00CA4021">
              <w:rPr>
                <w:noProof/>
                <w:webHidden/>
              </w:rPr>
              <w:fldChar w:fldCharType="begin"/>
            </w:r>
            <w:r w:rsidR="00CA4021">
              <w:rPr>
                <w:noProof/>
                <w:webHidden/>
              </w:rPr>
              <w:instrText xml:space="preserve"> PAGEREF _Toc496518795 \h </w:instrText>
            </w:r>
            <w:r w:rsidR="00CA4021">
              <w:rPr>
                <w:noProof/>
                <w:webHidden/>
              </w:rPr>
            </w:r>
            <w:r w:rsidR="00CA4021">
              <w:rPr>
                <w:noProof/>
                <w:webHidden/>
              </w:rPr>
              <w:fldChar w:fldCharType="separate"/>
            </w:r>
            <w:r>
              <w:rPr>
                <w:noProof/>
                <w:webHidden/>
              </w:rPr>
              <w:t>10</w:t>
            </w:r>
            <w:r w:rsidR="00CA4021">
              <w:rPr>
                <w:noProof/>
                <w:webHidden/>
              </w:rPr>
              <w:fldChar w:fldCharType="end"/>
            </w:r>
          </w:hyperlink>
        </w:p>
        <w:p w14:paraId="21663E63" w14:textId="73BD5FF7" w:rsidR="00CA4021" w:rsidRDefault="00E30BFE">
          <w:pPr>
            <w:pStyle w:val="Obsah3"/>
            <w:tabs>
              <w:tab w:val="left" w:pos="1200"/>
              <w:tab w:val="right" w:leader="dot" w:pos="9062"/>
            </w:tabs>
            <w:rPr>
              <w:rFonts w:eastAsiaTheme="minorEastAsia" w:cstheme="minorBidi"/>
              <w:noProof/>
              <w:sz w:val="22"/>
              <w:szCs w:val="22"/>
            </w:rPr>
          </w:pPr>
          <w:hyperlink w:anchor="_Toc496518796" w:history="1">
            <w:r w:rsidR="00CA4021" w:rsidRPr="00F878AE">
              <w:rPr>
                <w:rStyle w:val="Hypertextovodkaz"/>
                <w:noProof/>
              </w:rPr>
              <w:t>2.1.10</w:t>
            </w:r>
            <w:r w:rsidR="00CA4021">
              <w:rPr>
                <w:rFonts w:eastAsiaTheme="minorEastAsia" w:cstheme="minorBidi"/>
                <w:noProof/>
                <w:sz w:val="22"/>
                <w:szCs w:val="22"/>
              </w:rPr>
              <w:tab/>
            </w:r>
            <w:r w:rsidR="00CA4021" w:rsidRPr="00F878AE">
              <w:rPr>
                <w:rStyle w:val="Hypertextovodkaz"/>
                <w:noProof/>
              </w:rPr>
              <w:t>Věže</w:t>
            </w:r>
            <w:r w:rsidR="00CA4021">
              <w:rPr>
                <w:noProof/>
                <w:webHidden/>
              </w:rPr>
              <w:tab/>
            </w:r>
            <w:r w:rsidR="00CA4021">
              <w:rPr>
                <w:noProof/>
                <w:webHidden/>
              </w:rPr>
              <w:fldChar w:fldCharType="begin"/>
            </w:r>
            <w:r w:rsidR="00CA4021">
              <w:rPr>
                <w:noProof/>
                <w:webHidden/>
              </w:rPr>
              <w:instrText xml:space="preserve"> PAGEREF _Toc496518796 \h </w:instrText>
            </w:r>
            <w:r w:rsidR="00CA4021">
              <w:rPr>
                <w:noProof/>
                <w:webHidden/>
              </w:rPr>
            </w:r>
            <w:r w:rsidR="00CA4021">
              <w:rPr>
                <w:noProof/>
                <w:webHidden/>
              </w:rPr>
              <w:fldChar w:fldCharType="separate"/>
            </w:r>
            <w:r>
              <w:rPr>
                <w:noProof/>
                <w:webHidden/>
              </w:rPr>
              <w:t>10</w:t>
            </w:r>
            <w:r w:rsidR="00CA4021">
              <w:rPr>
                <w:noProof/>
                <w:webHidden/>
              </w:rPr>
              <w:fldChar w:fldCharType="end"/>
            </w:r>
          </w:hyperlink>
        </w:p>
        <w:p w14:paraId="6A741EA6" w14:textId="4CC12E76" w:rsidR="00CA4021" w:rsidRDefault="00E30BFE">
          <w:pPr>
            <w:pStyle w:val="Obsah3"/>
            <w:tabs>
              <w:tab w:val="left" w:pos="1200"/>
              <w:tab w:val="right" w:leader="dot" w:pos="9062"/>
            </w:tabs>
            <w:rPr>
              <w:rFonts w:eastAsiaTheme="minorEastAsia" w:cstheme="minorBidi"/>
              <w:noProof/>
              <w:sz w:val="22"/>
              <w:szCs w:val="22"/>
            </w:rPr>
          </w:pPr>
          <w:hyperlink w:anchor="_Toc496518797" w:history="1">
            <w:r w:rsidR="00CA4021" w:rsidRPr="00F878AE">
              <w:rPr>
                <w:rStyle w:val="Hypertextovodkaz"/>
                <w:noProof/>
              </w:rPr>
              <w:t>2.1.11</w:t>
            </w:r>
            <w:r w:rsidR="00CA4021">
              <w:rPr>
                <w:rFonts w:eastAsiaTheme="minorEastAsia" w:cstheme="minorBidi"/>
                <w:noProof/>
                <w:sz w:val="22"/>
                <w:szCs w:val="22"/>
              </w:rPr>
              <w:tab/>
            </w:r>
            <w:r w:rsidR="00CA4021" w:rsidRPr="00F878AE">
              <w:rPr>
                <w:rStyle w:val="Hypertextovodkaz"/>
                <w:noProof/>
              </w:rPr>
              <w:t>Podpůrné konstrukce</w:t>
            </w:r>
            <w:r w:rsidR="00CA4021">
              <w:rPr>
                <w:noProof/>
                <w:webHidden/>
              </w:rPr>
              <w:tab/>
            </w:r>
            <w:r w:rsidR="00CA4021">
              <w:rPr>
                <w:noProof/>
                <w:webHidden/>
              </w:rPr>
              <w:fldChar w:fldCharType="begin"/>
            </w:r>
            <w:r w:rsidR="00CA4021">
              <w:rPr>
                <w:noProof/>
                <w:webHidden/>
              </w:rPr>
              <w:instrText xml:space="preserve"> PAGEREF _Toc496518797 \h </w:instrText>
            </w:r>
            <w:r w:rsidR="00CA4021">
              <w:rPr>
                <w:noProof/>
                <w:webHidden/>
              </w:rPr>
            </w:r>
            <w:r w:rsidR="00CA4021">
              <w:rPr>
                <w:noProof/>
                <w:webHidden/>
              </w:rPr>
              <w:fldChar w:fldCharType="separate"/>
            </w:r>
            <w:r>
              <w:rPr>
                <w:noProof/>
                <w:webHidden/>
              </w:rPr>
              <w:t>11</w:t>
            </w:r>
            <w:r w:rsidR="00CA4021">
              <w:rPr>
                <w:noProof/>
                <w:webHidden/>
              </w:rPr>
              <w:fldChar w:fldCharType="end"/>
            </w:r>
          </w:hyperlink>
        </w:p>
        <w:p w14:paraId="03C8B979" w14:textId="51CD320F" w:rsidR="00CA4021" w:rsidRDefault="00E30BFE">
          <w:pPr>
            <w:pStyle w:val="Obsah2"/>
            <w:tabs>
              <w:tab w:val="left" w:pos="800"/>
              <w:tab w:val="right" w:leader="dot" w:pos="9062"/>
            </w:tabs>
            <w:rPr>
              <w:rFonts w:eastAsiaTheme="minorEastAsia" w:cstheme="minorBidi"/>
              <w:b w:val="0"/>
              <w:bCs w:val="0"/>
              <w:noProof/>
            </w:rPr>
          </w:pPr>
          <w:hyperlink w:anchor="_Toc496518798" w:history="1">
            <w:r w:rsidR="00CA4021" w:rsidRPr="00F878AE">
              <w:rPr>
                <w:rStyle w:val="Hypertextovodkaz"/>
                <w:rFonts w:eastAsia="MS Mincho"/>
                <w:noProof/>
                <w:lang w:eastAsia="ja-JP"/>
              </w:rPr>
              <w:t>2.2</w:t>
            </w:r>
            <w:r w:rsidR="00CA4021">
              <w:rPr>
                <w:rFonts w:eastAsiaTheme="minorEastAsia" w:cstheme="minorBidi"/>
                <w:b w:val="0"/>
                <w:bCs w:val="0"/>
                <w:noProof/>
              </w:rPr>
              <w:tab/>
            </w:r>
            <w:r w:rsidR="00CA4021" w:rsidRPr="00F878AE">
              <w:rPr>
                <w:rStyle w:val="Hypertextovodkaz"/>
                <w:rFonts w:eastAsia="MS Mincho"/>
                <w:noProof/>
                <w:lang w:eastAsia="ja-JP"/>
              </w:rPr>
              <w:t>Provozní náklady</w:t>
            </w:r>
            <w:r w:rsidR="00CA4021">
              <w:rPr>
                <w:noProof/>
                <w:webHidden/>
              </w:rPr>
              <w:tab/>
            </w:r>
            <w:r w:rsidR="00CA4021">
              <w:rPr>
                <w:noProof/>
                <w:webHidden/>
              </w:rPr>
              <w:fldChar w:fldCharType="begin"/>
            </w:r>
            <w:r w:rsidR="00CA4021">
              <w:rPr>
                <w:noProof/>
                <w:webHidden/>
              </w:rPr>
              <w:instrText xml:space="preserve"> PAGEREF _Toc496518798 \h </w:instrText>
            </w:r>
            <w:r w:rsidR="00CA4021">
              <w:rPr>
                <w:noProof/>
                <w:webHidden/>
              </w:rPr>
            </w:r>
            <w:r w:rsidR="00CA4021">
              <w:rPr>
                <w:noProof/>
                <w:webHidden/>
              </w:rPr>
              <w:fldChar w:fldCharType="separate"/>
            </w:r>
            <w:r>
              <w:rPr>
                <w:noProof/>
                <w:webHidden/>
              </w:rPr>
              <w:t>12</w:t>
            </w:r>
            <w:r w:rsidR="00CA4021">
              <w:rPr>
                <w:noProof/>
                <w:webHidden/>
              </w:rPr>
              <w:fldChar w:fldCharType="end"/>
            </w:r>
          </w:hyperlink>
        </w:p>
        <w:p w14:paraId="46801167" w14:textId="33ED3F41" w:rsidR="00CA4021" w:rsidRDefault="00E30BFE">
          <w:pPr>
            <w:pStyle w:val="Obsah2"/>
            <w:tabs>
              <w:tab w:val="left" w:pos="800"/>
              <w:tab w:val="right" w:leader="dot" w:pos="9062"/>
            </w:tabs>
            <w:rPr>
              <w:rFonts w:eastAsiaTheme="minorEastAsia" w:cstheme="minorBidi"/>
              <w:b w:val="0"/>
              <w:bCs w:val="0"/>
              <w:noProof/>
            </w:rPr>
          </w:pPr>
          <w:hyperlink w:anchor="_Toc496518799" w:history="1">
            <w:r w:rsidR="00CA4021" w:rsidRPr="00F878AE">
              <w:rPr>
                <w:rStyle w:val="Hypertextovodkaz"/>
                <w:rFonts w:eastAsia="MS Mincho"/>
                <w:noProof/>
                <w:lang w:eastAsia="ja-JP"/>
              </w:rPr>
              <w:t>2.3</w:t>
            </w:r>
            <w:r w:rsidR="00CA4021">
              <w:rPr>
                <w:rFonts w:eastAsiaTheme="minorEastAsia" w:cstheme="minorBidi"/>
                <w:b w:val="0"/>
                <w:bCs w:val="0"/>
                <w:noProof/>
              </w:rPr>
              <w:tab/>
            </w:r>
            <w:r w:rsidR="00CA4021" w:rsidRPr="00F878AE">
              <w:rPr>
                <w:rStyle w:val="Hypertextovodkaz"/>
                <w:rFonts w:eastAsia="MS Mincho"/>
                <w:noProof/>
                <w:lang w:eastAsia="ja-JP"/>
              </w:rPr>
              <w:t>Billing</w:t>
            </w:r>
            <w:r w:rsidR="00CA4021">
              <w:rPr>
                <w:noProof/>
                <w:webHidden/>
              </w:rPr>
              <w:tab/>
            </w:r>
            <w:r w:rsidR="00CA4021">
              <w:rPr>
                <w:noProof/>
                <w:webHidden/>
              </w:rPr>
              <w:fldChar w:fldCharType="begin"/>
            </w:r>
            <w:r w:rsidR="00CA4021">
              <w:rPr>
                <w:noProof/>
                <w:webHidden/>
              </w:rPr>
              <w:instrText xml:space="preserve"> PAGEREF _Toc496518799 \h </w:instrText>
            </w:r>
            <w:r w:rsidR="00CA4021">
              <w:rPr>
                <w:noProof/>
                <w:webHidden/>
              </w:rPr>
            </w:r>
            <w:r w:rsidR="00CA4021">
              <w:rPr>
                <w:noProof/>
                <w:webHidden/>
              </w:rPr>
              <w:fldChar w:fldCharType="separate"/>
            </w:r>
            <w:r>
              <w:rPr>
                <w:noProof/>
                <w:webHidden/>
              </w:rPr>
              <w:t>13</w:t>
            </w:r>
            <w:r w:rsidR="00CA4021">
              <w:rPr>
                <w:noProof/>
                <w:webHidden/>
              </w:rPr>
              <w:fldChar w:fldCharType="end"/>
            </w:r>
          </w:hyperlink>
        </w:p>
        <w:p w14:paraId="3A2869F8" w14:textId="231E0939" w:rsidR="00CA4021" w:rsidRDefault="00E30BFE">
          <w:pPr>
            <w:pStyle w:val="Obsah2"/>
            <w:tabs>
              <w:tab w:val="left" w:pos="800"/>
              <w:tab w:val="right" w:leader="dot" w:pos="9062"/>
            </w:tabs>
            <w:rPr>
              <w:rFonts w:eastAsiaTheme="minorEastAsia" w:cstheme="minorBidi"/>
              <w:b w:val="0"/>
              <w:bCs w:val="0"/>
              <w:noProof/>
            </w:rPr>
          </w:pPr>
          <w:hyperlink w:anchor="_Toc496518800" w:history="1">
            <w:r w:rsidR="00CA4021" w:rsidRPr="00F878AE">
              <w:rPr>
                <w:rStyle w:val="Hypertextovodkaz"/>
                <w:rFonts w:eastAsia="MS Mincho"/>
                <w:noProof/>
                <w:lang w:eastAsia="ja-JP"/>
              </w:rPr>
              <w:t>2.4</w:t>
            </w:r>
            <w:r w:rsidR="00CA4021">
              <w:rPr>
                <w:rFonts w:eastAsiaTheme="minorEastAsia" w:cstheme="minorBidi"/>
                <w:b w:val="0"/>
                <w:bCs w:val="0"/>
                <w:noProof/>
              </w:rPr>
              <w:tab/>
            </w:r>
            <w:r w:rsidR="00CA4021" w:rsidRPr="00F878AE">
              <w:rPr>
                <w:rStyle w:val="Hypertextovodkaz"/>
                <w:rFonts w:eastAsia="MS Mincho"/>
                <w:noProof/>
                <w:lang w:eastAsia="ja-JP"/>
              </w:rPr>
              <w:t>Prodej a péče o zákazníka</w:t>
            </w:r>
            <w:r w:rsidR="00CA4021">
              <w:rPr>
                <w:noProof/>
                <w:webHidden/>
              </w:rPr>
              <w:tab/>
            </w:r>
            <w:r w:rsidR="00CA4021">
              <w:rPr>
                <w:noProof/>
                <w:webHidden/>
              </w:rPr>
              <w:fldChar w:fldCharType="begin"/>
            </w:r>
            <w:r w:rsidR="00CA4021">
              <w:rPr>
                <w:noProof/>
                <w:webHidden/>
              </w:rPr>
              <w:instrText xml:space="preserve"> PAGEREF _Toc496518800 \h </w:instrText>
            </w:r>
            <w:r w:rsidR="00CA4021">
              <w:rPr>
                <w:noProof/>
                <w:webHidden/>
              </w:rPr>
            </w:r>
            <w:r w:rsidR="00CA4021">
              <w:rPr>
                <w:noProof/>
                <w:webHidden/>
              </w:rPr>
              <w:fldChar w:fldCharType="separate"/>
            </w:r>
            <w:r>
              <w:rPr>
                <w:noProof/>
                <w:webHidden/>
              </w:rPr>
              <w:t>13</w:t>
            </w:r>
            <w:r w:rsidR="00CA4021">
              <w:rPr>
                <w:noProof/>
                <w:webHidden/>
              </w:rPr>
              <w:fldChar w:fldCharType="end"/>
            </w:r>
          </w:hyperlink>
        </w:p>
        <w:p w14:paraId="3B7628DC" w14:textId="1B73C328" w:rsidR="00CA4021" w:rsidRDefault="00E30BFE">
          <w:pPr>
            <w:pStyle w:val="Obsah2"/>
            <w:tabs>
              <w:tab w:val="left" w:pos="800"/>
              <w:tab w:val="right" w:leader="dot" w:pos="9062"/>
            </w:tabs>
            <w:rPr>
              <w:rFonts w:eastAsiaTheme="minorEastAsia" w:cstheme="minorBidi"/>
              <w:b w:val="0"/>
              <w:bCs w:val="0"/>
              <w:noProof/>
            </w:rPr>
          </w:pPr>
          <w:hyperlink w:anchor="_Toc496518801" w:history="1">
            <w:r w:rsidR="00CA4021" w:rsidRPr="00F878AE">
              <w:rPr>
                <w:rStyle w:val="Hypertextovodkaz"/>
                <w:rFonts w:eastAsia="MS Mincho"/>
                <w:noProof/>
                <w:lang w:eastAsia="ja-JP"/>
              </w:rPr>
              <w:t>2.5</w:t>
            </w:r>
            <w:r w:rsidR="00CA4021">
              <w:rPr>
                <w:rFonts w:eastAsiaTheme="minorEastAsia" w:cstheme="minorBidi"/>
                <w:b w:val="0"/>
                <w:bCs w:val="0"/>
                <w:noProof/>
              </w:rPr>
              <w:tab/>
            </w:r>
            <w:r w:rsidR="00CA4021" w:rsidRPr="00F878AE">
              <w:rPr>
                <w:rStyle w:val="Hypertextovodkaz"/>
                <w:rFonts w:eastAsia="MS Mincho"/>
                <w:noProof/>
                <w:lang w:eastAsia="ja-JP"/>
              </w:rPr>
              <w:t>Režie</w:t>
            </w:r>
            <w:r w:rsidR="00CA4021">
              <w:rPr>
                <w:noProof/>
                <w:webHidden/>
              </w:rPr>
              <w:tab/>
            </w:r>
            <w:r w:rsidR="00CA4021">
              <w:rPr>
                <w:noProof/>
                <w:webHidden/>
              </w:rPr>
              <w:fldChar w:fldCharType="begin"/>
            </w:r>
            <w:r w:rsidR="00CA4021">
              <w:rPr>
                <w:noProof/>
                <w:webHidden/>
              </w:rPr>
              <w:instrText xml:space="preserve"> PAGEREF _Toc496518801 \h </w:instrText>
            </w:r>
            <w:r w:rsidR="00CA4021">
              <w:rPr>
                <w:noProof/>
                <w:webHidden/>
              </w:rPr>
            </w:r>
            <w:r w:rsidR="00CA4021">
              <w:rPr>
                <w:noProof/>
                <w:webHidden/>
              </w:rPr>
              <w:fldChar w:fldCharType="separate"/>
            </w:r>
            <w:r>
              <w:rPr>
                <w:noProof/>
                <w:webHidden/>
              </w:rPr>
              <w:t>14</w:t>
            </w:r>
            <w:r w:rsidR="00CA4021">
              <w:rPr>
                <w:noProof/>
                <w:webHidden/>
              </w:rPr>
              <w:fldChar w:fldCharType="end"/>
            </w:r>
          </w:hyperlink>
        </w:p>
        <w:p w14:paraId="3F0A4AA0" w14:textId="2FD4ED33" w:rsidR="00CA4021" w:rsidRDefault="00E30BFE">
          <w:pPr>
            <w:pStyle w:val="Obsah1"/>
            <w:tabs>
              <w:tab w:val="left" w:pos="400"/>
              <w:tab w:val="right" w:leader="dot" w:pos="9062"/>
            </w:tabs>
            <w:rPr>
              <w:rFonts w:eastAsiaTheme="minorEastAsia" w:cstheme="minorBidi"/>
              <w:b w:val="0"/>
              <w:bCs w:val="0"/>
              <w:i w:val="0"/>
              <w:iCs w:val="0"/>
              <w:noProof/>
              <w:sz w:val="22"/>
              <w:szCs w:val="22"/>
            </w:rPr>
          </w:pPr>
          <w:hyperlink w:anchor="_Toc496518802" w:history="1">
            <w:r w:rsidR="00CA4021" w:rsidRPr="00F878AE">
              <w:rPr>
                <w:rStyle w:val="Hypertextovodkaz"/>
                <w:rFonts w:eastAsia="MS Mincho"/>
                <w:noProof/>
                <w:lang w:eastAsia="ja-JP"/>
              </w:rPr>
              <w:t>3</w:t>
            </w:r>
            <w:r w:rsidR="00CA4021">
              <w:rPr>
                <w:rFonts w:eastAsiaTheme="minorEastAsia" w:cstheme="minorBidi"/>
                <w:b w:val="0"/>
                <w:bCs w:val="0"/>
                <w:i w:val="0"/>
                <w:iCs w:val="0"/>
                <w:noProof/>
                <w:sz w:val="22"/>
                <w:szCs w:val="22"/>
              </w:rPr>
              <w:tab/>
            </w:r>
            <w:r w:rsidR="00CA4021" w:rsidRPr="00F878AE">
              <w:rPr>
                <w:rStyle w:val="Hypertextovodkaz"/>
                <w:rFonts w:eastAsia="MS Mincho"/>
                <w:noProof/>
                <w:lang w:eastAsia="ja-JP"/>
              </w:rPr>
              <w:t>Jednorázové ceny za služby spojené s pronájmem fyzické infrastruktury</w:t>
            </w:r>
            <w:r w:rsidR="00CA4021">
              <w:rPr>
                <w:noProof/>
                <w:webHidden/>
              </w:rPr>
              <w:tab/>
            </w:r>
            <w:r w:rsidR="00CA4021">
              <w:rPr>
                <w:noProof/>
                <w:webHidden/>
              </w:rPr>
              <w:fldChar w:fldCharType="begin"/>
            </w:r>
            <w:r w:rsidR="00CA4021">
              <w:rPr>
                <w:noProof/>
                <w:webHidden/>
              </w:rPr>
              <w:instrText xml:space="preserve"> PAGEREF _Toc496518802 \h </w:instrText>
            </w:r>
            <w:r w:rsidR="00CA4021">
              <w:rPr>
                <w:noProof/>
                <w:webHidden/>
              </w:rPr>
            </w:r>
            <w:r w:rsidR="00CA4021">
              <w:rPr>
                <w:noProof/>
                <w:webHidden/>
              </w:rPr>
              <w:fldChar w:fldCharType="separate"/>
            </w:r>
            <w:r>
              <w:rPr>
                <w:noProof/>
                <w:webHidden/>
              </w:rPr>
              <w:t>14</w:t>
            </w:r>
            <w:r w:rsidR="00CA4021">
              <w:rPr>
                <w:noProof/>
                <w:webHidden/>
              </w:rPr>
              <w:fldChar w:fldCharType="end"/>
            </w:r>
          </w:hyperlink>
        </w:p>
        <w:p w14:paraId="08DDB9A4" w14:textId="603B8960" w:rsidR="00CA4021" w:rsidRDefault="00E30BFE">
          <w:pPr>
            <w:pStyle w:val="Obsah2"/>
            <w:tabs>
              <w:tab w:val="left" w:pos="800"/>
              <w:tab w:val="right" w:leader="dot" w:pos="9062"/>
            </w:tabs>
            <w:rPr>
              <w:rFonts w:eastAsiaTheme="minorEastAsia" w:cstheme="minorBidi"/>
              <w:b w:val="0"/>
              <w:bCs w:val="0"/>
              <w:noProof/>
            </w:rPr>
          </w:pPr>
          <w:hyperlink w:anchor="_Toc496518803" w:history="1">
            <w:r w:rsidR="00CA4021" w:rsidRPr="00F878AE">
              <w:rPr>
                <w:rStyle w:val="Hypertextovodkaz"/>
                <w:noProof/>
              </w:rPr>
              <w:t>3.1</w:t>
            </w:r>
            <w:r w:rsidR="00CA4021">
              <w:rPr>
                <w:rFonts w:eastAsiaTheme="minorEastAsia" w:cstheme="minorBidi"/>
                <w:b w:val="0"/>
                <w:bCs w:val="0"/>
                <w:noProof/>
              </w:rPr>
              <w:tab/>
            </w:r>
            <w:r w:rsidR="00CA4021" w:rsidRPr="00F878AE">
              <w:rPr>
                <w:rStyle w:val="Hypertextovodkaz"/>
                <w:noProof/>
              </w:rPr>
              <w:t>Průzkum fyzické infrastruktury na místě</w:t>
            </w:r>
            <w:r w:rsidR="00CA4021">
              <w:rPr>
                <w:noProof/>
                <w:webHidden/>
              </w:rPr>
              <w:tab/>
            </w:r>
            <w:r w:rsidR="00CA4021">
              <w:rPr>
                <w:noProof/>
                <w:webHidden/>
              </w:rPr>
              <w:fldChar w:fldCharType="begin"/>
            </w:r>
            <w:r w:rsidR="00CA4021">
              <w:rPr>
                <w:noProof/>
                <w:webHidden/>
              </w:rPr>
              <w:instrText xml:space="preserve"> PAGEREF _Toc496518803 \h </w:instrText>
            </w:r>
            <w:r w:rsidR="00CA4021">
              <w:rPr>
                <w:noProof/>
                <w:webHidden/>
              </w:rPr>
            </w:r>
            <w:r w:rsidR="00CA4021">
              <w:rPr>
                <w:noProof/>
                <w:webHidden/>
              </w:rPr>
              <w:fldChar w:fldCharType="separate"/>
            </w:r>
            <w:r>
              <w:rPr>
                <w:noProof/>
                <w:webHidden/>
              </w:rPr>
              <w:t>14</w:t>
            </w:r>
            <w:r w:rsidR="00CA4021">
              <w:rPr>
                <w:noProof/>
                <w:webHidden/>
              </w:rPr>
              <w:fldChar w:fldCharType="end"/>
            </w:r>
          </w:hyperlink>
        </w:p>
        <w:p w14:paraId="3D277011" w14:textId="48A3280A" w:rsidR="00CA4021" w:rsidRDefault="00E30BFE">
          <w:pPr>
            <w:pStyle w:val="Obsah2"/>
            <w:tabs>
              <w:tab w:val="left" w:pos="800"/>
              <w:tab w:val="right" w:leader="dot" w:pos="9062"/>
            </w:tabs>
            <w:rPr>
              <w:rFonts w:eastAsiaTheme="minorEastAsia" w:cstheme="minorBidi"/>
              <w:b w:val="0"/>
              <w:bCs w:val="0"/>
              <w:noProof/>
            </w:rPr>
          </w:pPr>
          <w:hyperlink w:anchor="_Toc496518804" w:history="1">
            <w:r w:rsidR="00CA4021" w:rsidRPr="00F878AE">
              <w:rPr>
                <w:rStyle w:val="Hypertextovodkaz"/>
                <w:noProof/>
              </w:rPr>
              <w:t>3.2</w:t>
            </w:r>
            <w:r w:rsidR="00CA4021">
              <w:rPr>
                <w:rFonts w:eastAsiaTheme="minorEastAsia" w:cstheme="minorBidi"/>
                <w:b w:val="0"/>
                <w:bCs w:val="0"/>
                <w:noProof/>
              </w:rPr>
              <w:tab/>
            </w:r>
            <w:r w:rsidR="00CA4021" w:rsidRPr="00F878AE">
              <w:rPr>
                <w:rStyle w:val="Hypertextovodkaz"/>
                <w:noProof/>
              </w:rPr>
              <w:t>Projekt technického provedení přístupu k fyzické infrastruktuře</w:t>
            </w:r>
            <w:r w:rsidR="00CA4021">
              <w:rPr>
                <w:noProof/>
                <w:webHidden/>
              </w:rPr>
              <w:tab/>
            </w:r>
            <w:r w:rsidR="00CA4021">
              <w:rPr>
                <w:noProof/>
                <w:webHidden/>
              </w:rPr>
              <w:fldChar w:fldCharType="begin"/>
            </w:r>
            <w:r w:rsidR="00CA4021">
              <w:rPr>
                <w:noProof/>
                <w:webHidden/>
              </w:rPr>
              <w:instrText xml:space="preserve"> PAGEREF _Toc496518804 \h </w:instrText>
            </w:r>
            <w:r w:rsidR="00CA4021">
              <w:rPr>
                <w:noProof/>
                <w:webHidden/>
              </w:rPr>
            </w:r>
            <w:r w:rsidR="00CA4021">
              <w:rPr>
                <w:noProof/>
                <w:webHidden/>
              </w:rPr>
              <w:fldChar w:fldCharType="separate"/>
            </w:r>
            <w:r>
              <w:rPr>
                <w:noProof/>
                <w:webHidden/>
              </w:rPr>
              <w:t>14</w:t>
            </w:r>
            <w:r w:rsidR="00CA4021">
              <w:rPr>
                <w:noProof/>
                <w:webHidden/>
              </w:rPr>
              <w:fldChar w:fldCharType="end"/>
            </w:r>
          </w:hyperlink>
        </w:p>
        <w:p w14:paraId="2D030B74" w14:textId="19173A2D" w:rsidR="00CA4021" w:rsidRDefault="00E30BFE">
          <w:pPr>
            <w:pStyle w:val="Obsah2"/>
            <w:tabs>
              <w:tab w:val="left" w:pos="800"/>
              <w:tab w:val="right" w:leader="dot" w:pos="9062"/>
            </w:tabs>
            <w:rPr>
              <w:rFonts w:eastAsiaTheme="minorEastAsia" w:cstheme="minorBidi"/>
              <w:b w:val="0"/>
              <w:bCs w:val="0"/>
              <w:noProof/>
            </w:rPr>
          </w:pPr>
          <w:hyperlink w:anchor="_Toc496518805" w:history="1">
            <w:r w:rsidR="00CA4021" w:rsidRPr="00F878AE">
              <w:rPr>
                <w:rStyle w:val="Hypertextovodkaz"/>
                <w:noProof/>
              </w:rPr>
              <w:t>3.3</w:t>
            </w:r>
            <w:r w:rsidR="00CA4021">
              <w:rPr>
                <w:rFonts w:eastAsiaTheme="minorEastAsia" w:cstheme="minorBidi"/>
                <w:b w:val="0"/>
                <w:bCs w:val="0"/>
                <w:noProof/>
              </w:rPr>
              <w:tab/>
            </w:r>
            <w:r w:rsidR="00CA4021" w:rsidRPr="00F878AE">
              <w:rPr>
                <w:rStyle w:val="Hypertextovodkaz"/>
                <w:noProof/>
              </w:rPr>
              <w:t>Přípravné práce spojené s projektem a provedením stavby</w:t>
            </w:r>
            <w:r w:rsidR="00CA4021">
              <w:rPr>
                <w:noProof/>
                <w:webHidden/>
              </w:rPr>
              <w:tab/>
            </w:r>
            <w:r w:rsidR="00CA4021">
              <w:rPr>
                <w:noProof/>
                <w:webHidden/>
              </w:rPr>
              <w:fldChar w:fldCharType="begin"/>
            </w:r>
            <w:r w:rsidR="00CA4021">
              <w:rPr>
                <w:noProof/>
                <w:webHidden/>
              </w:rPr>
              <w:instrText xml:space="preserve"> PAGEREF _Toc496518805 \h </w:instrText>
            </w:r>
            <w:r w:rsidR="00CA4021">
              <w:rPr>
                <w:noProof/>
                <w:webHidden/>
              </w:rPr>
            </w:r>
            <w:r w:rsidR="00CA4021">
              <w:rPr>
                <w:noProof/>
                <w:webHidden/>
              </w:rPr>
              <w:fldChar w:fldCharType="separate"/>
            </w:r>
            <w:r>
              <w:rPr>
                <w:noProof/>
                <w:webHidden/>
              </w:rPr>
              <w:t>15</w:t>
            </w:r>
            <w:r w:rsidR="00CA4021">
              <w:rPr>
                <w:noProof/>
                <w:webHidden/>
              </w:rPr>
              <w:fldChar w:fldCharType="end"/>
            </w:r>
          </w:hyperlink>
        </w:p>
        <w:p w14:paraId="68DB1B5C" w14:textId="77777777" w:rsidR="00CA4021" w:rsidRDefault="00CA4021">
          <w:r>
            <w:rPr>
              <w:b/>
              <w:bCs/>
            </w:rPr>
            <w:fldChar w:fldCharType="end"/>
          </w:r>
        </w:p>
      </w:sdtContent>
    </w:sdt>
    <w:p w14:paraId="38B5776F" w14:textId="77777777" w:rsidR="007C0C8C" w:rsidRPr="000C234A" w:rsidRDefault="007C0C8C" w:rsidP="007C0C8C">
      <w:pPr>
        <w:rPr>
          <w:rFonts w:ascii="Arial" w:hAnsi="Arial" w:cs="Arial"/>
        </w:rPr>
      </w:pPr>
    </w:p>
    <w:p w14:paraId="24B39D17" w14:textId="77777777" w:rsidR="007C0C8C" w:rsidRPr="000C234A" w:rsidRDefault="007C0C8C">
      <w:pPr>
        <w:overflowPunct/>
        <w:autoSpaceDE/>
        <w:autoSpaceDN/>
        <w:adjustRightInd/>
        <w:spacing w:after="160" w:line="259" w:lineRule="auto"/>
        <w:textAlignment w:val="auto"/>
        <w:rPr>
          <w:rFonts w:ascii="Arial" w:hAnsi="Arial" w:cs="Arial"/>
        </w:rPr>
      </w:pPr>
      <w:r w:rsidRPr="000C234A">
        <w:rPr>
          <w:rFonts w:ascii="Arial" w:hAnsi="Arial" w:cs="Arial"/>
        </w:rPr>
        <w:br w:type="page"/>
      </w:r>
    </w:p>
    <w:p w14:paraId="199E44F0" w14:textId="77777777" w:rsidR="002D5CED" w:rsidRPr="00975ACC" w:rsidRDefault="007C0C8C" w:rsidP="00F67923">
      <w:pPr>
        <w:pStyle w:val="Vvojcen-nadpis1"/>
      </w:pPr>
      <w:bookmarkStart w:id="1" w:name="_Toc484009721"/>
      <w:bookmarkStart w:id="2" w:name="_Toc496446428"/>
      <w:bookmarkStart w:id="3" w:name="_Toc496518782"/>
      <w:bookmarkEnd w:id="1"/>
      <w:r w:rsidRPr="00975ACC">
        <w:lastRenderedPageBreak/>
        <w:t>Úvod a v</w:t>
      </w:r>
      <w:r w:rsidR="00256736" w:rsidRPr="00975ACC">
        <w:t xml:space="preserve">ymezení </w:t>
      </w:r>
      <w:r w:rsidR="002D5CED" w:rsidRPr="00975ACC">
        <w:t>pojmů</w:t>
      </w:r>
      <w:bookmarkEnd w:id="2"/>
      <w:bookmarkEnd w:id="3"/>
    </w:p>
    <w:p w14:paraId="67C76CE6" w14:textId="77777777" w:rsidR="007C0C8C" w:rsidRPr="00975ACC" w:rsidRDefault="007C0C8C" w:rsidP="007C0C8C">
      <w:pPr>
        <w:pStyle w:val="Vvojcen-zkladntext"/>
        <w:rPr>
          <w:rFonts w:cs="Arial"/>
        </w:rPr>
      </w:pPr>
      <w:r w:rsidRPr="00975ACC">
        <w:rPr>
          <w:rFonts w:cs="Arial"/>
        </w:rPr>
        <w:t>Cílem předkládaného dokumentu je stanovit metodiku pro výpočet cen služeb poskytovaných v návaznosti na povinnosti vyplývající tzv. povinným osobám</w:t>
      </w:r>
      <w:r w:rsidRPr="000C234A">
        <w:rPr>
          <w:rStyle w:val="Znakapoznpodarou"/>
          <w:rFonts w:cs="Arial"/>
          <w:color w:val="000000" w:themeColor="text1"/>
        </w:rPr>
        <w:footnoteReference w:id="1"/>
      </w:r>
      <w:r w:rsidRPr="00975ACC">
        <w:rPr>
          <w:rFonts w:cs="Arial"/>
        </w:rPr>
        <w:t xml:space="preserve"> ze zákona</w:t>
      </w:r>
      <w:r w:rsidR="00B05191">
        <w:rPr>
          <w:rFonts w:cs="Arial"/>
        </w:rPr>
        <w:t xml:space="preserve"> č. </w:t>
      </w:r>
      <w:r w:rsidR="00975ACC">
        <w:rPr>
          <w:rFonts w:cs="Arial"/>
        </w:rPr>
        <w:t>194/2017 Sb.,</w:t>
      </w:r>
      <w:r w:rsidRPr="00975ACC">
        <w:rPr>
          <w:rFonts w:cs="Arial"/>
        </w:rPr>
        <w:t xml:space="preserve"> o opatřeních ke snížení nákladů na zavádění vysokorychlostních sítí elektronických komunikací a o změně některých souvisejících zákonů (dále jen „Zákon“).</w:t>
      </w:r>
      <w:r w:rsidR="00975ACC">
        <w:rPr>
          <w:rFonts w:cs="Arial"/>
        </w:rPr>
        <w:t xml:space="preserve"> </w:t>
      </w:r>
    </w:p>
    <w:p w14:paraId="68A998DB" w14:textId="77777777" w:rsidR="007C0C8C" w:rsidRPr="00975ACC" w:rsidRDefault="007C0C8C" w:rsidP="007C0C8C">
      <w:pPr>
        <w:pStyle w:val="Vvojcen-zkladntext"/>
        <w:rPr>
          <w:rFonts w:cs="Arial"/>
        </w:rPr>
      </w:pPr>
      <w:r w:rsidRPr="00975ACC">
        <w:rPr>
          <w:rFonts w:cs="Arial"/>
        </w:rPr>
        <w:t>Konkrétně metodika pojednává o stanovení:</w:t>
      </w:r>
    </w:p>
    <w:p w14:paraId="4D59F993" w14:textId="77777777" w:rsidR="007C0C8C" w:rsidRPr="00B300B4" w:rsidRDefault="007C0C8C" w:rsidP="007C0C8C">
      <w:pPr>
        <w:pStyle w:val="Vvojcen-odrky"/>
      </w:pPr>
      <w:r w:rsidRPr="00B05191">
        <w:t>Měsíčních cen za pronájem fyzické infrastruktury</w:t>
      </w:r>
    </w:p>
    <w:p w14:paraId="0FC86B73" w14:textId="77777777" w:rsidR="007C0C8C" w:rsidRPr="00975ACC" w:rsidRDefault="007C0C8C" w:rsidP="007C0C8C">
      <w:pPr>
        <w:pStyle w:val="Vvojcen-odrky"/>
        <w:rPr>
          <w:color w:val="000000" w:themeColor="text1"/>
          <w:szCs w:val="24"/>
        </w:rPr>
      </w:pPr>
      <w:r w:rsidRPr="00975ACC">
        <w:t>Jednorázových cen za služby spojené s pronájmem fyzické infrastruktury</w:t>
      </w:r>
    </w:p>
    <w:p w14:paraId="16CED599" w14:textId="77777777" w:rsidR="002E52E7" w:rsidRPr="00975ACC" w:rsidRDefault="002D6F89" w:rsidP="007C0C8C">
      <w:pPr>
        <w:pStyle w:val="Vvojcen-zkladntext"/>
        <w:rPr>
          <w:rFonts w:cs="Arial"/>
          <w:bCs/>
          <w:iCs/>
          <w:color w:val="000000"/>
          <w:szCs w:val="24"/>
          <w:lang w:eastAsia="ja-JP"/>
        </w:rPr>
      </w:pPr>
      <w:r w:rsidRPr="00975ACC">
        <w:rPr>
          <w:rFonts w:cs="Arial"/>
          <w:color w:val="000000" w:themeColor="text1"/>
          <w:szCs w:val="24"/>
        </w:rPr>
        <w:t xml:space="preserve">Zákon ve vymezení pojmů </w:t>
      </w:r>
      <w:r w:rsidR="002E52E7" w:rsidRPr="00975ACC">
        <w:rPr>
          <w:rFonts w:cs="Arial"/>
          <w:color w:val="000000" w:themeColor="text1"/>
          <w:szCs w:val="24"/>
        </w:rPr>
        <w:t>stanov</w:t>
      </w:r>
      <w:r w:rsidRPr="00975ACC">
        <w:rPr>
          <w:rFonts w:cs="Arial"/>
          <w:color w:val="000000" w:themeColor="text1"/>
          <w:szCs w:val="24"/>
        </w:rPr>
        <w:t xml:space="preserve">í, že </w:t>
      </w:r>
      <w:r w:rsidRPr="00CA4021">
        <w:rPr>
          <w:rFonts w:cs="Arial"/>
        </w:rPr>
        <w:t xml:space="preserve">fyzickou infrastrukturou </w:t>
      </w:r>
      <w:r w:rsidR="002E52E7" w:rsidRPr="00CA4021">
        <w:rPr>
          <w:rFonts w:cs="Arial"/>
        </w:rPr>
        <w:t xml:space="preserve">se rozumí </w:t>
      </w:r>
      <w:r w:rsidRPr="00CA4021">
        <w:rPr>
          <w:rFonts w:cs="Arial"/>
        </w:rPr>
        <w:t>prvek sítě, který je určen k umístění jiných prvků sítě, aniž by</w:t>
      </w:r>
      <w:r w:rsidR="007C0C8C" w:rsidRPr="000C234A">
        <w:rPr>
          <w:rFonts w:cs="Arial"/>
        </w:rPr>
        <w:t xml:space="preserve"> </w:t>
      </w:r>
      <w:r w:rsidRPr="00975ACC">
        <w:rPr>
          <w:rFonts w:cs="Arial"/>
        </w:rPr>
        <w:t>se sám stal aktivním prvkem sítě</w:t>
      </w:r>
      <w:r w:rsidR="002E52E7" w:rsidRPr="00975ACC">
        <w:rPr>
          <w:rFonts w:cs="Arial"/>
        </w:rPr>
        <w:t xml:space="preserve">. </w:t>
      </w:r>
    </w:p>
    <w:p w14:paraId="17E5189D" w14:textId="77777777" w:rsidR="00E313DF" w:rsidRPr="009B2DD6" w:rsidRDefault="00A425F1" w:rsidP="00F67923">
      <w:pPr>
        <w:pStyle w:val="Vvojcen-zkladntext"/>
        <w:rPr>
          <w:rFonts w:cs="Arial"/>
          <w:szCs w:val="24"/>
        </w:rPr>
      </w:pPr>
      <w:r w:rsidRPr="00975ACC">
        <w:rPr>
          <w:rFonts w:cs="Arial"/>
          <w:szCs w:val="24"/>
        </w:rPr>
        <w:t>Přístupová síť NGA se skládá ze sítě přípojné (backhaul), sítě distribuční a sítě uživatelské. Přípojnou síť (backhaul) lze definovat jako síť propojující páteřní síť (tzv. core network) a lokální síť v obci.</w:t>
      </w:r>
      <w:r w:rsidRPr="00B05191">
        <w:rPr>
          <w:rFonts w:cs="Arial"/>
          <w:szCs w:val="24"/>
        </w:rPr>
        <w:t xml:space="preserve"> Distribuční síť propojuje jednotlivé části obce, nebo přilehlé lokality a zajišťuje konekti</w:t>
      </w:r>
      <w:r w:rsidR="007C0C8C" w:rsidRPr="00B300B4">
        <w:rPr>
          <w:rFonts w:cs="Arial"/>
          <w:szCs w:val="24"/>
        </w:rPr>
        <w:t>vitu pro jednotlivé distribuční</w:t>
      </w:r>
      <w:r w:rsidR="00BC2B37" w:rsidRPr="00B300B4">
        <w:rPr>
          <w:rFonts w:cs="Arial"/>
          <w:szCs w:val="24"/>
        </w:rPr>
        <w:t xml:space="preserve"> </w:t>
      </w:r>
      <w:r w:rsidR="007C0C8C" w:rsidRPr="00B300B4">
        <w:rPr>
          <w:rFonts w:cs="Arial"/>
          <w:szCs w:val="24"/>
        </w:rPr>
        <w:t>(</w:t>
      </w:r>
      <w:r w:rsidRPr="00CA4021">
        <w:rPr>
          <w:rFonts w:cs="Arial"/>
          <w:szCs w:val="24"/>
        </w:rPr>
        <w:t>soustřeďovací</w:t>
      </w:r>
      <w:r w:rsidR="007C0C8C" w:rsidRPr="00CA4021">
        <w:rPr>
          <w:rFonts w:cs="Arial"/>
          <w:szCs w:val="24"/>
        </w:rPr>
        <w:t>)</w:t>
      </w:r>
      <w:r w:rsidRPr="00CA4021">
        <w:rPr>
          <w:rFonts w:cs="Arial"/>
          <w:szCs w:val="24"/>
        </w:rPr>
        <w:t xml:space="preserve"> body, kam jsou připojeny uživ</w:t>
      </w:r>
      <w:r w:rsidRPr="00A533AC">
        <w:rPr>
          <w:rFonts w:cs="Arial"/>
          <w:szCs w:val="24"/>
        </w:rPr>
        <w:t xml:space="preserve">atelské sítě. Uživatelská síť je sítí elektronických komunikací mezi soustřeďovacím bodem (AP) a koncovým zákazníkem (uživatelem). </w:t>
      </w:r>
    </w:p>
    <w:p w14:paraId="4AEE0432" w14:textId="6BDCA39B" w:rsidR="00DC42CE" w:rsidRPr="00975ACC" w:rsidRDefault="00A425F1" w:rsidP="00F67923">
      <w:pPr>
        <w:pStyle w:val="Vvojcen-zkladntext"/>
        <w:rPr>
          <w:rFonts w:cs="Arial"/>
          <w:bCs/>
          <w:iCs/>
          <w:color w:val="000000"/>
          <w:szCs w:val="24"/>
          <w:lang w:eastAsia="ja-JP"/>
        </w:rPr>
      </w:pPr>
      <w:r w:rsidRPr="00AF28AB">
        <w:rPr>
          <w:rFonts w:cs="Arial"/>
          <w:szCs w:val="24"/>
        </w:rPr>
        <w:t>Pr</w:t>
      </w:r>
      <w:r w:rsidR="00E313DF" w:rsidRPr="00AF28AB">
        <w:rPr>
          <w:rFonts w:cs="Arial"/>
          <w:szCs w:val="24"/>
        </w:rPr>
        <w:t>o výstavbu přístupové sítě NGA j</w:t>
      </w:r>
      <w:r w:rsidRPr="008A1875">
        <w:rPr>
          <w:rFonts w:cs="Arial"/>
          <w:szCs w:val="24"/>
        </w:rPr>
        <w:t>e mimo</w:t>
      </w:r>
      <w:r w:rsidR="00E313DF" w:rsidRPr="008A1875">
        <w:rPr>
          <w:rFonts w:cs="Arial"/>
          <w:szCs w:val="24"/>
        </w:rPr>
        <w:t>řádně důležité vy</w:t>
      </w:r>
      <w:r w:rsidRPr="008A1875">
        <w:rPr>
          <w:rFonts w:cs="Arial"/>
          <w:szCs w:val="24"/>
        </w:rPr>
        <w:t>užív</w:t>
      </w:r>
      <w:r w:rsidR="00E313DF" w:rsidRPr="008A1875">
        <w:rPr>
          <w:rFonts w:cs="Arial"/>
          <w:szCs w:val="24"/>
        </w:rPr>
        <w:t>án</w:t>
      </w:r>
      <w:r w:rsidRPr="00BF6EEA">
        <w:rPr>
          <w:rFonts w:cs="Arial"/>
          <w:szCs w:val="24"/>
        </w:rPr>
        <w:t>í prvk</w:t>
      </w:r>
      <w:r w:rsidR="00E313DF" w:rsidRPr="00BF6EEA">
        <w:rPr>
          <w:rFonts w:cs="Arial"/>
          <w:szCs w:val="24"/>
        </w:rPr>
        <w:t>ů</w:t>
      </w:r>
      <w:r w:rsidRPr="00BF6EEA">
        <w:rPr>
          <w:rFonts w:cs="Arial"/>
          <w:szCs w:val="24"/>
        </w:rPr>
        <w:t xml:space="preserve"> pasivní fyzické infrastruktury.</w:t>
      </w:r>
      <w:r w:rsidR="00E313DF" w:rsidRPr="001C3993">
        <w:rPr>
          <w:rFonts w:cs="Arial"/>
          <w:szCs w:val="24"/>
        </w:rPr>
        <w:t xml:space="preserve"> </w:t>
      </w:r>
      <w:r w:rsidR="00E313DF" w:rsidRPr="001C3993">
        <w:rPr>
          <w:rFonts w:cs="Arial"/>
        </w:rPr>
        <w:t>Poskytovatel velkoobchodního přístupu k fyzické infrastruktuře umožní využívání své sítě v souladu s podmínkami</w:t>
      </w:r>
      <w:r w:rsidR="00210AA2" w:rsidRPr="00CA4021">
        <w:rPr>
          <w:rStyle w:val="Znakapoznpodarou"/>
          <w:rFonts w:cs="Arial"/>
        </w:rPr>
        <w:footnoteReference w:id="2"/>
      </w:r>
      <w:r w:rsidR="00E313DF" w:rsidRPr="00CA4021">
        <w:rPr>
          <w:rFonts w:cs="Arial"/>
        </w:rPr>
        <w:t xml:space="preserve"> stanovenými Zákonem a stanoví </w:t>
      </w:r>
      <w:r w:rsidR="00E313DF" w:rsidRPr="00CA4021">
        <w:rPr>
          <w:rFonts w:cs="Arial"/>
          <w:bCs/>
          <w:iCs/>
          <w:color w:val="000000"/>
          <w:szCs w:val="24"/>
          <w:lang w:eastAsia="ja-JP"/>
        </w:rPr>
        <w:t>vzájemnou dohodou ceny pronájmu daného prvku</w:t>
      </w:r>
      <w:r w:rsidR="00E313DF" w:rsidRPr="00975ACC">
        <w:rPr>
          <w:rFonts w:cs="Arial"/>
          <w:bCs/>
          <w:iCs/>
          <w:color w:val="000000"/>
          <w:szCs w:val="24"/>
          <w:lang w:eastAsia="ja-JP"/>
        </w:rPr>
        <w:t xml:space="preserve">. </w:t>
      </w:r>
      <w:r w:rsidR="00C47F79" w:rsidRPr="00975ACC">
        <w:rPr>
          <w:rFonts w:cs="Arial"/>
          <w:bCs/>
          <w:iCs/>
          <w:color w:val="000000"/>
          <w:szCs w:val="24"/>
          <w:lang w:eastAsia="ja-JP"/>
        </w:rPr>
        <w:t>Český telekomunikač</w:t>
      </w:r>
      <w:r w:rsidR="004448DA" w:rsidRPr="00975ACC">
        <w:rPr>
          <w:rFonts w:cs="Arial"/>
          <w:bCs/>
          <w:iCs/>
          <w:color w:val="000000"/>
          <w:szCs w:val="24"/>
          <w:lang w:eastAsia="ja-JP"/>
        </w:rPr>
        <w:t>n</w:t>
      </w:r>
      <w:r w:rsidR="00C47F79" w:rsidRPr="00975ACC">
        <w:rPr>
          <w:rFonts w:cs="Arial"/>
          <w:bCs/>
          <w:iCs/>
          <w:color w:val="000000"/>
          <w:szCs w:val="24"/>
          <w:lang w:eastAsia="ja-JP"/>
        </w:rPr>
        <w:t>í úřad (dále jen „</w:t>
      </w:r>
      <w:r w:rsidR="00E313DF" w:rsidRPr="00975ACC">
        <w:rPr>
          <w:rFonts w:cs="Arial"/>
          <w:bCs/>
          <w:iCs/>
          <w:color w:val="000000"/>
          <w:szCs w:val="24"/>
          <w:lang w:eastAsia="ja-JP"/>
        </w:rPr>
        <w:t>ČTÚ</w:t>
      </w:r>
      <w:r w:rsidR="00C47F79" w:rsidRPr="00975ACC">
        <w:rPr>
          <w:rFonts w:cs="Arial"/>
          <w:bCs/>
          <w:iCs/>
          <w:color w:val="000000"/>
          <w:szCs w:val="24"/>
          <w:lang w:eastAsia="ja-JP"/>
        </w:rPr>
        <w:t>“)</w:t>
      </w:r>
      <w:r w:rsidR="00E313DF" w:rsidRPr="00975ACC">
        <w:rPr>
          <w:rFonts w:cs="Arial"/>
          <w:bCs/>
          <w:iCs/>
          <w:color w:val="000000"/>
          <w:szCs w:val="24"/>
          <w:lang w:eastAsia="ja-JP"/>
        </w:rPr>
        <w:t xml:space="preserve"> jako nezávislý regulační orgán pro účely </w:t>
      </w:r>
      <w:r w:rsidR="004B3FEF" w:rsidRPr="00975ACC">
        <w:rPr>
          <w:rFonts w:cs="Arial"/>
          <w:bCs/>
          <w:iCs/>
          <w:color w:val="000000"/>
          <w:szCs w:val="24"/>
          <w:lang w:eastAsia="ja-JP"/>
        </w:rPr>
        <w:t xml:space="preserve">stanovení </w:t>
      </w:r>
      <w:r w:rsidR="00E313DF" w:rsidRPr="00975ACC">
        <w:rPr>
          <w:rFonts w:cs="Arial"/>
          <w:bCs/>
          <w:iCs/>
          <w:color w:val="000000"/>
          <w:szCs w:val="24"/>
          <w:lang w:eastAsia="ja-JP"/>
        </w:rPr>
        <w:t>nákladů pro případné rozhodování sporů o ceně bude</w:t>
      </w:r>
      <w:r w:rsidR="00B05191">
        <w:rPr>
          <w:rFonts w:cs="Arial"/>
          <w:bCs/>
          <w:iCs/>
          <w:color w:val="000000"/>
          <w:szCs w:val="24"/>
          <w:lang w:eastAsia="ja-JP"/>
        </w:rPr>
        <w:t xml:space="preserve"> v maximální možné míře</w:t>
      </w:r>
      <w:r w:rsidR="00E313DF" w:rsidRPr="00975ACC">
        <w:rPr>
          <w:rFonts w:cs="Arial"/>
          <w:bCs/>
          <w:iCs/>
          <w:color w:val="000000"/>
          <w:szCs w:val="24"/>
          <w:lang w:eastAsia="ja-JP"/>
        </w:rPr>
        <w:t xml:space="preserve"> vycházet ze zásad u</w:t>
      </w:r>
      <w:r w:rsidR="00DC42CE" w:rsidRPr="00975ACC">
        <w:rPr>
          <w:rFonts w:cs="Arial"/>
          <w:bCs/>
          <w:iCs/>
          <w:color w:val="000000"/>
          <w:szCs w:val="24"/>
          <w:lang w:eastAsia="ja-JP"/>
        </w:rPr>
        <w:t>vedených v tomto dokumentu.</w:t>
      </w:r>
      <w:r w:rsidR="00975ACC">
        <w:rPr>
          <w:rFonts w:cs="Arial"/>
          <w:bCs/>
          <w:iCs/>
          <w:color w:val="000000"/>
          <w:szCs w:val="24"/>
          <w:lang w:eastAsia="ja-JP"/>
        </w:rPr>
        <w:t xml:space="preserve"> ČTÚ</w:t>
      </w:r>
      <w:r w:rsidR="00B05191">
        <w:rPr>
          <w:rFonts w:cs="Arial"/>
          <w:bCs/>
          <w:iCs/>
          <w:color w:val="000000"/>
          <w:szCs w:val="24"/>
          <w:lang w:eastAsia="ja-JP"/>
        </w:rPr>
        <w:t xml:space="preserve"> nicméně</w:t>
      </w:r>
      <w:r w:rsidR="00975ACC">
        <w:rPr>
          <w:rFonts w:cs="Arial"/>
          <w:bCs/>
          <w:iCs/>
          <w:color w:val="000000"/>
          <w:szCs w:val="24"/>
          <w:lang w:eastAsia="ja-JP"/>
        </w:rPr>
        <w:t xml:space="preserve"> prezentovanou metodiku</w:t>
      </w:r>
      <w:r w:rsidR="00B05191">
        <w:rPr>
          <w:rFonts w:cs="Arial"/>
          <w:bCs/>
          <w:iCs/>
          <w:color w:val="000000"/>
          <w:szCs w:val="24"/>
          <w:lang w:eastAsia="ja-JP"/>
        </w:rPr>
        <w:t xml:space="preserve"> nevnímá jako závazný a neměnný dokument, ale právě jen</w:t>
      </w:r>
      <w:r w:rsidR="00975ACC">
        <w:rPr>
          <w:rFonts w:cs="Arial"/>
          <w:bCs/>
          <w:iCs/>
          <w:color w:val="000000"/>
          <w:szCs w:val="24"/>
          <w:lang w:eastAsia="ja-JP"/>
        </w:rPr>
        <w:t xml:space="preserve"> jako metodickou pomůcku pro rozhodování sporů. ČTÚ</w:t>
      </w:r>
      <w:r w:rsidR="00B05191">
        <w:rPr>
          <w:rFonts w:cs="Arial"/>
          <w:bCs/>
          <w:iCs/>
          <w:color w:val="000000"/>
          <w:szCs w:val="24"/>
          <w:lang w:eastAsia="ja-JP"/>
        </w:rPr>
        <w:t xml:space="preserve"> proto</w:t>
      </w:r>
      <w:r w:rsidR="00975ACC">
        <w:rPr>
          <w:rFonts w:cs="Arial"/>
          <w:bCs/>
          <w:iCs/>
          <w:color w:val="000000"/>
          <w:szCs w:val="24"/>
          <w:lang w:eastAsia="ja-JP"/>
        </w:rPr>
        <w:t xml:space="preserve"> předpokládá, že s rozvojem </w:t>
      </w:r>
      <w:r w:rsidR="00B05191">
        <w:rPr>
          <w:rFonts w:cs="Arial"/>
          <w:bCs/>
          <w:iCs/>
          <w:color w:val="000000"/>
          <w:szCs w:val="24"/>
          <w:lang w:eastAsia="ja-JP"/>
        </w:rPr>
        <w:t>rozhodovací praxe a </w:t>
      </w:r>
      <w:r w:rsidR="00975ACC">
        <w:rPr>
          <w:rFonts w:cs="Arial"/>
          <w:bCs/>
          <w:iCs/>
          <w:color w:val="000000"/>
          <w:szCs w:val="24"/>
          <w:lang w:eastAsia="ja-JP"/>
        </w:rPr>
        <w:t>řešením řady praktických problémů bude docházet k</w:t>
      </w:r>
      <w:r w:rsidR="00B05191">
        <w:rPr>
          <w:rFonts w:cs="Arial"/>
          <w:bCs/>
          <w:iCs/>
          <w:color w:val="000000"/>
          <w:szCs w:val="24"/>
          <w:lang w:eastAsia="ja-JP"/>
        </w:rPr>
        <w:t xml:space="preserve"> dalším </w:t>
      </w:r>
      <w:r w:rsidR="00975ACC">
        <w:rPr>
          <w:rFonts w:cs="Arial"/>
          <w:bCs/>
          <w:iCs/>
          <w:color w:val="000000"/>
          <w:szCs w:val="24"/>
          <w:lang w:eastAsia="ja-JP"/>
        </w:rPr>
        <w:t xml:space="preserve">úpravám </w:t>
      </w:r>
      <w:r w:rsidR="00B05191">
        <w:rPr>
          <w:rFonts w:cs="Arial"/>
          <w:bCs/>
          <w:iCs/>
          <w:color w:val="000000"/>
          <w:szCs w:val="24"/>
          <w:lang w:eastAsia="ja-JP"/>
        </w:rPr>
        <w:t>a </w:t>
      </w:r>
      <w:r w:rsidR="00975ACC">
        <w:rPr>
          <w:rFonts w:cs="Arial"/>
          <w:bCs/>
          <w:iCs/>
          <w:color w:val="000000"/>
          <w:szCs w:val="24"/>
          <w:lang w:eastAsia="ja-JP"/>
        </w:rPr>
        <w:t xml:space="preserve">zpřesňování </w:t>
      </w:r>
      <w:r w:rsidR="00B05191">
        <w:rPr>
          <w:rFonts w:cs="Arial"/>
          <w:bCs/>
          <w:iCs/>
          <w:color w:val="000000"/>
          <w:szCs w:val="24"/>
          <w:lang w:eastAsia="ja-JP"/>
        </w:rPr>
        <w:t>této metodiky.</w:t>
      </w:r>
      <w:r w:rsidR="00975ACC">
        <w:rPr>
          <w:rFonts w:cs="Arial"/>
          <w:bCs/>
          <w:iCs/>
          <w:color w:val="000000"/>
          <w:szCs w:val="24"/>
          <w:lang w:eastAsia="ja-JP"/>
        </w:rPr>
        <w:t xml:space="preserve"> </w:t>
      </w:r>
    </w:p>
    <w:p w14:paraId="2823BEBE" w14:textId="77777777" w:rsidR="009406D8" w:rsidRPr="00B05191" w:rsidRDefault="009406D8" w:rsidP="00F67923">
      <w:pPr>
        <w:pStyle w:val="Vvojcen-nadpis1"/>
        <w:rPr>
          <w:rFonts w:eastAsia="MS Mincho"/>
          <w:lang w:eastAsia="ja-JP"/>
        </w:rPr>
      </w:pPr>
      <w:bookmarkStart w:id="4" w:name="_Toc484008743"/>
      <w:bookmarkStart w:id="5" w:name="_Toc484009735"/>
      <w:bookmarkStart w:id="6" w:name="_Toc484009792"/>
      <w:bookmarkStart w:id="7" w:name="_Toc484009849"/>
      <w:bookmarkStart w:id="8" w:name="_Toc484009927"/>
      <w:bookmarkStart w:id="9" w:name="_Toc484010705"/>
      <w:bookmarkStart w:id="10" w:name="_Toc484008744"/>
      <w:bookmarkStart w:id="11" w:name="_Toc484009736"/>
      <w:bookmarkStart w:id="12" w:name="_Toc484009793"/>
      <w:bookmarkStart w:id="13" w:name="_Toc484009850"/>
      <w:bookmarkStart w:id="14" w:name="_Toc484009928"/>
      <w:bookmarkStart w:id="15" w:name="_Toc484010706"/>
      <w:bookmarkStart w:id="16" w:name="_Toc496446429"/>
      <w:bookmarkStart w:id="17" w:name="_Toc496518783"/>
      <w:bookmarkEnd w:id="4"/>
      <w:bookmarkEnd w:id="5"/>
      <w:bookmarkEnd w:id="6"/>
      <w:bookmarkEnd w:id="7"/>
      <w:bookmarkEnd w:id="8"/>
      <w:bookmarkEnd w:id="9"/>
      <w:bookmarkEnd w:id="10"/>
      <w:bookmarkEnd w:id="11"/>
      <w:bookmarkEnd w:id="12"/>
      <w:bookmarkEnd w:id="13"/>
      <w:bookmarkEnd w:id="14"/>
      <w:bookmarkEnd w:id="15"/>
      <w:r w:rsidRPr="00B05191">
        <w:rPr>
          <w:rFonts w:eastAsia="MS Mincho"/>
          <w:lang w:eastAsia="ja-JP"/>
        </w:rPr>
        <w:t>Měsíční ceny za pronájem fyzické infrastruktury</w:t>
      </w:r>
      <w:bookmarkEnd w:id="16"/>
      <w:bookmarkEnd w:id="17"/>
    </w:p>
    <w:p w14:paraId="7E594AEC" w14:textId="77777777" w:rsidR="00C47F79" w:rsidRPr="00CA4021" w:rsidRDefault="00C47F79" w:rsidP="00F67923">
      <w:pPr>
        <w:pStyle w:val="Vvojcen-zkladntext"/>
        <w:rPr>
          <w:rFonts w:cs="Arial"/>
        </w:rPr>
      </w:pPr>
      <w:r w:rsidRPr="00B05191">
        <w:rPr>
          <w:rFonts w:cs="Arial"/>
          <w:lang w:eastAsia="ja-JP"/>
        </w:rPr>
        <w:t xml:space="preserve">Základní prvky </w:t>
      </w:r>
      <w:r w:rsidRPr="00B05191">
        <w:rPr>
          <w:rFonts w:cs="Arial"/>
        </w:rPr>
        <w:t>fyzické infrastruktury</w:t>
      </w:r>
      <w:r w:rsidRPr="00B05191">
        <w:rPr>
          <w:rFonts w:cs="Arial"/>
          <w:lang w:eastAsia="ja-JP"/>
        </w:rPr>
        <w:t xml:space="preserve">, na které se budou </w:t>
      </w:r>
      <w:r w:rsidRPr="00B300B4">
        <w:rPr>
          <w:rFonts w:cs="Arial"/>
          <w:lang w:eastAsia="ja-JP"/>
        </w:rPr>
        <w:t xml:space="preserve">níže uvedené zásady cenové tvorby vztahovat, jsou definovány </w:t>
      </w:r>
      <w:r w:rsidRPr="00CA4021">
        <w:rPr>
          <w:rFonts w:cs="Arial"/>
        </w:rPr>
        <w:t>v § 2 Zákona takto:</w:t>
      </w:r>
    </w:p>
    <w:p w14:paraId="429C4003" w14:textId="77777777" w:rsidR="00C47F79" w:rsidRPr="00975ACC" w:rsidRDefault="00C47F79" w:rsidP="00C47F79">
      <w:pPr>
        <w:pStyle w:val="Odstavecseseznamem"/>
        <w:numPr>
          <w:ilvl w:val="0"/>
          <w:numId w:val="4"/>
        </w:numPr>
        <w:overflowPunct/>
        <w:autoSpaceDE/>
        <w:autoSpaceDN/>
        <w:adjustRightInd/>
        <w:spacing w:before="120" w:after="120"/>
        <w:ind w:left="771" w:hanging="357"/>
        <w:jc w:val="both"/>
        <w:textAlignment w:val="auto"/>
        <w:rPr>
          <w:rFonts w:ascii="Arial" w:hAnsi="Arial" w:cs="Arial"/>
          <w:color w:val="000000" w:themeColor="text1"/>
          <w:sz w:val="22"/>
          <w:szCs w:val="22"/>
        </w:rPr>
      </w:pPr>
      <w:r w:rsidRPr="00975ACC">
        <w:rPr>
          <w:rFonts w:ascii="Arial" w:hAnsi="Arial" w:cs="Arial"/>
          <w:sz w:val="22"/>
          <w:szCs w:val="22"/>
        </w:rPr>
        <w:t xml:space="preserve"> Potrubí</w:t>
      </w:r>
    </w:p>
    <w:p w14:paraId="7F508BBA" w14:textId="77777777" w:rsidR="00C47F79" w:rsidRPr="00975ACC" w:rsidRDefault="00C47F79" w:rsidP="00C47F79">
      <w:pPr>
        <w:pStyle w:val="Odstavecseseznamem"/>
        <w:numPr>
          <w:ilvl w:val="0"/>
          <w:numId w:val="4"/>
        </w:numPr>
        <w:overflowPunct/>
        <w:autoSpaceDE/>
        <w:autoSpaceDN/>
        <w:adjustRightInd/>
        <w:spacing w:before="120" w:after="120"/>
        <w:ind w:left="771" w:hanging="357"/>
        <w:jc w:val="both"/>
        <w:textAlignment w:val="auto"/>
        <w:rPr>
          <w:rFonts w:ascii="Arial" w:hAnsi="Arial" w:cs="Arial"/>
          <w:color w:val="000000" w:themeColor="text1"/>
          <w:sz w:val="22"/>
          <w:szCs w:val="22"/>
        </w:rPr>
      </w:pPr>
      <w:r w:rsidRPr="00975ACC">
        <w:rPr>
          <w:rFonts w:ascii="Arial" w:hAnsi="Arial" w:cs="Arial"/>
          <w:sz w:val="22"/>
          <w:szCs w:val="22"/>
        </w:rPr>
        <w:t xml:space="preserve"> Stožáry</w:t>
      </w:r>
    </w:p>
    <w:p w14:paraId="500D5A34" w14:textId="77777777" w:rsidR="00C47F79" w:rsidRPr="00975ACC" w:rsidRDefault="00C47F79" w:rsidP="00C47F79">
      <w:pPr>
        <w:pStyle w:val="Odstavecseseznamem"/>
        <w:numPr>
          <w:ilvl w:val="0"/>
          <w:numId w:val="4"/>
        </w:numPr>
        <w:overflowPunct/>
        <w:autoSpaceDE/>
        <w:autoSpaceDN/>
        <w:adjustRightInd/>
        <w:spacing w:before="120" w:after="120"/>
        <w:jc w:val="both"/>
        <w:textAlignment w:val="auto"/>
        <w:rPr>
          <w:rFonts w:ascii="Arial" w:hAnsi="Arial" w:cs="Arial"/>
          <w:color w:val="000000" w:themeColor="text1"/>
          <w:sz w:val="22"/>
          <w:szCs w:val="22"/>
        </w:rPr>
      </w:pPr>
      <w:r w:rsidRPr="00975ACC">
        <w:rPr>
          <w:rFonts w:ascii="Arial" w:hAnsi="Arial" w:cs="Arial"/>
          <w:sz w:val="22"/>
          <w:szCs w:val="22"/>
        </w:rPr>
        <w:t xml:space="preserve"> Kabelovody</w:t>
      </w:r>
    </w:p>
    <w:p w14:paraId="2B4A4BA4" w14:textId="77777777" w:rsidR="00C47F79" w:rsidRPr="00975ACC" w:rsidRDefault="00C47F79" w:rsidP="00C47F79">
      <w:pPr>
        <w:pStyle w:val="Odstavecseseznamem"/>
        <w:numPr>
          <w:ilvl w:val="0"/>
          <w:numId w:val="4"/>
        </w:numPr>
        <w:overflowPunct/>
        <w:autoSpaceDE/>
        <w:autoSpaceDN/>
        <w:adjustRightInd/>
        <w:spacing w:before="120" w:after="120"/>
        <w:jc w:val="both"/>
        <w:textAlignment w:val="auto"/>
        <w:rPr>
          <w:rFonts w:ascii="Arial" w:hAnsi="Arial" w:cs="Arial"/>
          <w:color w:val="000000" w:themeColor="text1"/>
          <w:sz w:val="22"/>
          <w:szCs w:val="22"/>
        </w:rPr>
      </w:pPr>
      <w:r w:rsidRPr="00975ACC">
        <w:rPr>
          <w:rFonts w:ascii="Arial" w:hAnsi="Arial" w:cs="Arial"/>
          <w:sz w:val="22"/>
          <w:szCs w:val="22"/>
        </w:rPr>
        <w:t xml:space="preserve"> Kolektory</w:t>
      </w:r>
    </w:p>
    <w:p w14:paraId="5C44A8BF" w14:textId="77777777" w:rsidR="00C47F79" w:rsidRPr="00975ACC" w:rsidRDefault="00C47F79" w:rsidP="00C47F79">
      <w:pPr>
        <w:pStyle w:val="Odstavecseseznamem"/>
        <w:numPr>
          <w:ilvl w:val="0"/>
          <w:numId w:val="4"/>
        </w:numPr>
        <w:overflowPunct/>
        <w:autoSpaceDE/>
        <w:autoSpaceDN/>
        <w:adjustRightInd/>
        <w:spacing w:before="120" w:after="120"/>
        <w:jc w:val="both"/>
        <w:textAlignment w:val="auto"/>
        <w:rPr>
          <w:rFonts w:ascii="Arial" w:hAnsi="Arial" w:cs="Arial"/>
          <w:color w:val="000000" w:themeColor="text1"/>
          <w:sz w:val="22"/>
          <w:szCs w:val="22"/>
        </w:rPr>
      </w:pPr>
      <w:r w:rsidRPr="00975ACC">
        <w:rPr>
          <w:rFonts w:ascii="Arial" w:hAnsi="Arial" w:cs="Arial"/>
          <w:sz w:val="22"/>
          <w:szCs w:val="22"/>
        </w:rPr>
        <w:t xml:space="preserve"> Inspekční komory,</w:t>
      </w:r>
    </w:p>
    <w:p w14:paraId="510A7CE1" w14:textId="77777777" w:rsidR="00C47F79" w:rsidRPr="00975ACC" w:rsidRDefault="00C47F79" w:rsidP="00C47F79">
      <w:pPr>
        <w:pStyle w:val="Odstavecseseznamem"/>
        <w:numPr>
          <w:ilvl w:val="0"/>
          <w:numId w:val="4"/>
        </w:numPr>
        <w:overflowPunct/>
        <w:autoSpaceDE/>
        <w:autoSpaceDN/>
        <w:adjustRightInd/>
        <w:spacing w:before="120" w:after="120"/>
        <w:jc w:val="both"/>
        <w:textAlignment w:val="auto"/>
        <w:rPr>
          <w:rFonts w:ascii="Arial" w:hAnsi="Arial" w:cs="Arial"/>
          <w:color w:val="000000" w:themeColor="text1"/>
          <w:sz w:val="22"/>
          <w:szCs w:val="22"/>
        </w:rPr>
      </w:pPr>
      <w:r w:rsidRPr="00975ACC">
        <w:rPr>
          <w:rFonts w:ascii="Arial" w:hAnsi="Arial" w:cs="Arial"/>
          <w:sz w:val="22"/>
          <w:szCs w:val="22"/>
        </w:rPr>
        <w:t xml:space="preserve"> Vstupní šachty</w:t>
      </w:r>
    </w:p>
    <w:p w14:paraId="1A65A73F" w14:textId="77777777" w:rsidR="00C47F79" w:rsidRPr="00975ACC" w:rsidRDefault="00C47F79" w:rsidP="00C47F79">
      <w:pPr>
        <w:pStyle w:val="Odstavecseseznamem"/>
        <w:numPr>
          <w:ilvl w:val="0"/>
          <w:numId w:val="4"/>
        </w:numPr>
        <w:overflowPunct/>
        <w:autoSpaceDE/>
        <w:autoSpaceDN/>
        <w:adjustRightInd/>
        <w:spacing w:before="120" w:after="120"/>
        <w:jc w:val="both"/>
        <w:textAlignment w:val="auto"/>
        <w:rPr>
          <w:rFonts w:ascii="Arial" w:hAnsi="Arial" w:cs="Arial"/>
          <w:color w:val="000000" w:themeColor="text1"/>
          <w:sz w:val="22"/>
          <w:szCs w:val="22"/>
        </w:rPr>
      </w:pPr>
      <w:r w:rsidRPr="00975ACC">
        <w:rPr>
          <w:rFonts w:ascii="Arial" w:hAnsi="Arial" w:cs="Arial"/>
          <w:sz w:val="22"/>
          <w:szCs w:val="22"/>
        </w:rPr>
        <w:t xml:space="preserve"> Rozvodné skříně</w:t>
      </w:r>
    </w:p>
    <w:p w14:paraId="48CDD7C1" w14:textId="77777777" w:rsidR="00C47F79" w:rsidRPr="00975ACC" w:rsidRDefault="00C47F79" w:rsidP="00C47F79">
      <w:pPr>
        <w:pStyle w:val="Odstavecseseznamem"/>
        <w:numPr>
          <w:ilvl w:val="0"/>
          <w:numId w:val="4"/>
        </w:numPr>
        <w:overflowPunct/>
        <w:autoSpaceDE/>
        <w:autoSpaceDN/>
        <w:adjustRightInd/>
        <w:spacing w:before="120" w:after="120"/>
        <w:jc w:val="both"/>
        <w:textAlignment w:val="auto"/>
        <w:rPr>
          <w:rFonts w:ascii="Arial" w:hAnsi="Arial" w:cs="Arial"/>
          <w:color w:val="000000" w:themeColor="text1"/>
          <w:sz w:val="22"/>
          <w:szCs w:val="22"/>
        </w:rPr>
      </w:pPr>
      <w:r w:rsidRPr="00975ACC">
        <w:rPr>
          <w:rFonts w:ascii="Arial" w:hAnsi="Arial" w:cs="Arial"/>
          <w:sz w:val="22"/>
          <w:szCs w:val="22"/>
        </w:rPr>
        <w:t xml:space="preserve"> Budovy a vstupy do budov</w:t>
      </w:r>
    </w:p>
    <w:p w14:paraId="1BDAE5FA" w14:textId="77777777" w:rsidR="00C47F79" w:rsidRPr="00975ACC" w:rsidRDefault="00C47F79" w:rsidP="00C47F79">
      <w:pPr>
        <w:pStyle w:val="Odstavecseseznamem"/>
        <w:numPr>
          <w:ilvl w:val="0"/>
          <w:numId w:val="4"/>
        </w:numPr>
        <w:overflowPunct/>
        <w:autoSpaceDE/>
        <w:autoSpaceDN/>
        <w:adjustRightInd/>
        <w:spacing w:before="120" w:after="120"/>
        <w:jc w:val="both"/>
        <w:textAlignment w:val="auto"/>
        <w:rPr>
          <w:rFonts w:ascii="Arial" w:hAnsi="Arial" w:cs="Arial"/>
          <w:color w:val="000000" w:themeColor="text1"/>
          <w:sz w:val="22"/>
          <w:szCs w:val="22"/>
        </w:rPr>
      </w:pPr>
      <w:r w:rsidRPr="00975ACC">
        <w:rPr>
          <w:rFonts w:ascii="Arial" w:hAnsi="Arial" w:cs="Arial"/>
          <w:sz w:val="22"/>
          <w:szCs w:val="22"/>
        </w:rPr>
        <w:lastRenderedPageBreak/>
        <w:t xml:space="preserve"> Anténní nosiče</w:t>
      </w:r>
    </w:p>
    <w:p w14:paraId="37B559A6" w14:textId="77777777" w:rsidR="00C47F79" w:rsidRPr="00975ACC" w:rsidRDefault="00C47F79" w:rsidP="00C47F79">
      <w:pPr>
        <w:pStyle w:val="Odstavecseseznamem"/>
        <w:numPr>
          <w:ilvl w:val="0"/>
          <w:numId w:val="4"/>
        </w:numPr>
        <w:overflowPunct/>
        <w:autoSpaceDE/>
        <w:autoSpaceDN/>
        <w:adjustRightInd/>
        <w:spacing w:before="120" w:after="120"/>
        <w:jc w:val="both"/>
        <w:textAlignment w:val="auto"/>
        <w:rPr>
          <w:rFonts w:ascii="Arial" w:hAnsi="Arial" w:cs="Arial"/>
          <w:color w:val="000000" w:themeColor="text1"/>
          <w:sz w:val="22"/>
          <w:szCs w:val="22"/>
        </w:rPr>
      </w:pPr>
      <w:r w:rsidRPr="00975ACC">
        <w:rPr>
          <w:rFonts w:ascii="Arial" w:hAnsi="Arial" w:cs="Arial"/>
          <w:sz w:val="22"/>
          <w:szCs w:val="22"/>
        </w:rPr>
        <w:t xml:space="preserve"> Věže</w:t>
      </w:r>
    </w:p>
    <w:p w14:paraId="433D0720" w14:textId="77777777" w:rsidR="00C47F79" w:rsidRPr="00975ACC" w:rsidRDefault="00C47F79" w:rsidP="00C47F79">
      <w:pPr>
        <w:pStyle w:val="Odstavecseseznamem"/>
        <w:numPr>
          <w:ilvl w:val="0"/>
          <w:numId w:val="4"/>
        </w:numPr>
        <w:overflowPunct/>
        <w:autoSpaceDE/>
        <w:autoSpaceDN/>
        <w:adjustRightInd/>
        <w:spacing w:before="120" w:after="120"/>
        <w:jc w:val="both"/>
        <w:textAlignment w:val="auto"/>
        <w:rPr>
          <w:rFonts w:ascii="Arial" w:hAnsi="Arial" w:cs="Arial"/>
          <w:color w:val="000000" w:themeColor="text1"/>
          <w:sz w:val="22"/>
          <w:szCs w:val="22"/>
        </w:rPr>
      </w:pPr>
      <w:r w:rsidRPr="00975ACC">
        <w:rPr>
          <w:rFonts w:ascii="Arial" w:hAnsi="Arial" w:cs="Arial"/>
          <w:sz w:val="22"/>
          <w:szCs w:val="22"/>
        </w:rPr>
        <w:t xml:space="preserve"> Podpůrné konstrukce</w:t>
      </w:r>
    </w:p>
    <w:p w14:paraId="17473DF4" w14:textId="2A0D556B" w:rsidR="00C47F79" w:rsidRPr="00975ACC" w:rsidRDefault="00C47F79" w:rsidP="00F67923">
      <w:pPr>
        <w:pStyle w:val="Vvojcen-zkladntext"/>
        <w:rPr>
          <w:rFonts w:eastAsia="MS Mincho" w:cs="Arial"/>
          <w:lang w:eastAsia="ja-JP"/>
        </w:rPr>
      </w:pPr>
      <w:r w:rsidRPr="00CA4021">
        <w:rPr>
          <w:rFonts w:eastAsia="MS Mincho" w:cs="Arial"/>
          <w:lang w:eastAsia="ja-JP"/>
        </w:rPr>
        <w:t>Velkoobchodní cena za přístup k prvkům fyzické infrastruktury bude nákladově orientovaná, a měla by pokrývat náklady vlastníka této infrastruktury spojené s jejím pořízením a provozováním včetně přiměřené ekonomické návratnosti vynaložených investic. K tom</w:t>
      </w:r>
      <w:r w:rsidRPr="00A533AC">
        <w:rPr>
          <w:rFonts w:eastAsia="MS Mincho" w:cs="Arial"/>
          <w:lang w:eastAsia="ja-JP"/>
        </w:rPr>
        <w:t xml:space="preserve">uto účelu </w:t>
      </w:r>
      <w:r w:rsidRPr="001C3993">
        <w:rPr>
          <w:rFonts w:eastAsia="MS Mincho" w:cs="Arial"/>
          <w:lang w:eastAsia="ja-JP"/>
        </w:rPr>
        <w:t>ČTÚ</w:t>
      </w:r>
      <w:r w:rsidRPr="00A533AC">
        <w:rPr>
          <w:rFonts w:eastAsia="MS Mincho" w:cs="Arial"/>
          <w:lang w:eastAsia="ja-JP"/>
        </w:rPr>
        <w:t xml:space="preserve"> určuje postup</w:t>
      </w:r>
      <w:r w:rsidR="00A967FC" w:rsidRPr="000C234A">
        <w:rPr>
          <w:rFonts w:eastAsia="MS Mincho" w:cs="Arial"/>
          <w:lang w:eastAsia="ja-JP"/>
        </w:rPr>
        <w:t xml:space="preserve"> při rozhodování sporů o cenu podle jednotlivých ustanovení Zákona</w:t>
      </w:r>
      <w:r w:rsidRPr="00B05191">
        <w:rPr>
          <w:rFonts w:eastAsia="MS Mincho" w:cs="Arial"/>
          <w:lang w:eastAsia="ja-JP"/>
        </w:rPr>
        <w:t>, který je</w:t>
      </w:r>
      <w:r w:rsidR="000E260E" w:rsidRPr="00B05191">
        <w:rPr>
          <w:rFonts w:eastAsia="MS Mincho" w:cs="Arial"/>
          <w:lang w:eastAsia="ja-JP"/>
        </w:rPr>
        <w:t xml:space="preserve"> v hlavních principech inspirován</w:t>
      </w:r>
      <w:r w:rsidRPr="00975ACC">
        <w:rPr>
          <w:rFonts w:eastAsia="MS Mincho" w:cs="Arial"/>
          <w:lang w:eastAsia="ja-JP"/>
        </w:rPr>
        <w:t xml:space="preserve"> Doporučením Evropské komise o konzistentních povinnostech nediskriminace a metodikách výpočtu nákladů s cílem podpořit hospodářskou soutěž a zlepšit podmínky pro investice do širokopásmového připojení ze dne 11. září 2013 (2013/466/EU).</w:t>
      </w:r>
      <w:r w:rsidR="00210AA2" w:rsidRPr="00975ACC">
        <w:rPr>
          <w:rFonts w:eastAsia="MS Mincho" w:cs="Arial"/>
          <w:lang w:eastAsia="ja-JP"/>
        </w:rPr>
        <w:t xml:space="preserve"> </w:t>
      </w:r>
    </w:p>
    <w:p w14:paraId="30CCE9A1" w14:textId="77777777" w:rsidR="00AA2082" w:rsidRPr="00975ACC" w:rsidRDefault="00AA2082" w:rsidP="00F67923">
      <w:pPr>
        <w:pStyle w:val="Vvojcen-zkladntext"/>
        <w:rPr>
          <w:rFonts w:eastAsia="MS Mincho" w:cs="Arial"/>
          <w:lang w:eastAsia="ja-JP"/>
        </w:rPr>
      </w:pPr>
      <w:r w:rsidRPr="00975ACC">
        <w:rPr>
          <w:rFonts w:eastAsia="MS Mincho" w:cs="Arial"/>
          <w:lang w:eastAsia="ja-JP"/>
        </w:rPr>
        <w:t>Kalkulační vzorec pro výpočet měsíční ceny pronájmu fyzické infrastruktury v obecném tvaru zahrnuje tyto položky:</w:t>
      </w:r>
    </w:p>
    <w:p w14:paraId="402B8A6C" w14:textId="77777777" w:rsidR="00AA2082" w:rsidRPr="000C234A" w:rsidRDefault="00AA2082" w:rsidP="003A4CE0">
      <w:pPr>
        <w:overflowPunct/>
        <w:autoSpaceDE/>
        <w:autoSpaceDN/>
        <w:adjustRightInd/>
        <w:spacing w:after="120"/>
        <w:jc w:val="center"/>
        <w:textAlignment w:val="auto"/>
        <w:rPr>
          <w:rFonts w:ascii="Arial" w:hAnsi="Arial" w:cs="Arial"/>
          <w:b/>
          <w:color w:val="000000" w:themeColor="text1"/>
          <w:sz w:val="28"/>
          <w:szCs w:val="28"/>
        </w:rPr>
      </w:pPr>
      <w:r w:rsidRPr="000C234A">
        <w:rPr>
          <w:rFonts w:ascii="Arial" w:hAnsi="Arial" w:cs="Arial"/>
          <w:b/>
          <w:noProof/>
          <w:color w:val="000000" w:themeColor="text1"/>
          <w:sz w:val="28"/>
          <w:szCs w:val="28"/>
        </w:rPr>
        <mc:AlternateContent>
          <mc:Choice Requires="wps">
            <w:drawing>
              <wp:anchor distT="0" distB="0" distL="114300" distR="114300" simplePos="0" relativeHeight="251659264" behindDoc="0" locked="0" layoutInCell="1" allowOverlap="1" wp14:anchorId="4EB49232" wp14:editId="00595D5D">
                <wp:simplePos x="0" y="0"/>
                <wp:positionH relativeFrom="column">
                  <wp:posOffset>52705</wp:posOffset>
                </wp:positionH>
                <wp:positionV relativeFrom="paragraph">
                  <wp:posOffset>243840</wp:posOffset>
                </wp:positionV>
                <wp:extent cx="5600700" cy="0"/>
                <wp:effectExtent l="0" t="0" r="19050" b="19050"/>
                <wp:wrapNone/>
                <wp:docPr id="4" name="Přímá spojnice 4"/>
                <wp:cNvGraphicFramePr/>
                <a:graphic xmlns:a="http://schemas.openxmlformats.org/drawingml/2006/main">
                  <a:graphicData uri="http://schemas.microsoft.com/office/word/2010/wordprocessingShape">
                    <wps:wsp>
                      <wps:cNvCnPr/>
                      <wps:spPr>
                        <a:xfrm flipV="1">
                          <a:off x="0" y="0"/>
                          <a:ext cx="56007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32EF1" id="Přímá spojnice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9.2pt" to="445.1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" strokecolor="black [3213]" strokeweight="2pt">
                <v:stroke joinstyle="miter"/>
              </v:line>
            </w:pict>
          </mc:Fallback>
        </mc:AlternateContent>
      </w:r>
      <w:r w:rsidR="000D1F89" w:rsidRPr="000C234A">
        <w:rPr>
          <w:rFonts w:ascii="Arial" w:hAnsi="Arial" w:cs="Arial"/>
          <w:b/>
          <w:color w:val="000000" w:themeColor="text1"/>
          <w:sz w:val="28"/>
          <w:szCs w:val="28"/>
        </w:rPr>
        <w:t xml:space="preserve">roční </w:t>
      </w:r>
      <w:r w:rsidRPr="000C234A">
        <w:rPr>
          <w:rFonts w:ascii="Arial" w:hAnsi="Arial" w:cs="Arial"/>
          <w:b/>
          <w:color w:val="000000" w:themeColor="text1"/>
          <w:sz w:val="28"/>
          <w:szCs w:val="28"/>
        </w:rPr>
        <w:t xml:space="preserve">odpisy + provozní náklady + billing + </w:t>
      </w:r>
      <w:r w:rsidR="004113F0" w:rsidRPr="000C234A">
        <w:rPr>
          <w:rFonts w:ascii="Arial" w:hAnsi="Arial" w:cs="Arial"/>
          <w:b/>
          <w:color w:val="000000" w:themeColor="text1"/>
          <w:sz w:val="28"/>
          <w:szCs w:val="28"/>
        </w:rPr>
        <w:t>péče o zákazníka</w:t>
      </w:r>
      <w:r w:rsidRPr="000C234A">
        <w:rPr>
          <w:rFonts w:ascii="Arial" w:hAnsi="Arial" w:cs="Arial"/>
          <w:b/>
          <w:color w:val="000000" w:themeColor="text1"/>
          <w:sz w:val="28"/>
          <w:szCs w:val="28"/>
        </w:rPr>
        <w:t xml:space="preserve"> + režie</w:t>
      </w:r>
    </w:p>
    <w:p w14:paraId="616A2F45" w14:textId="77777777" w:rsidR="00AA2082" w:rsidRPr="000C234A" w:rsidRDefault="00560234" w:rsidP="000C234A">
      <w:pPr>
        <w:tabs>
          <w:tab w:val="center" w:pos="4536"/>
        </w:tabs>
        <w:overflowPunct/>
        <w:autoSpaceDE/>
        <w:autoSpaceDN/>
        <w:adjustRightInd/>
        <w:spacing w:after="240"/>
        <w:textAlignment w:val="auto"/>
        <w:rPr>
          <w:rFonts w:ascii="Arial" w:hAnsi="Arial" w:cs="Arial"/>
          <w:b/>
          <w:color w:val="000000" w:themeColor="text1"/>
          <w:sz w:val="28"/>
          <w:szCs w:val="28"/>
        </w:rPr>
      </w:pPr>
      <w:r w:rsidRPr="000C234A">
        <w:rPr>
          <w:rFonts w:ascii="Arial" w:hAnsi="Arial" w:cs="Arial"/>
          <w:b/>
          <w:color w:val="000000" w:themeColor="text1"/>
          <w:sz w:val="28"/>
          <w:szCs w:val="28"/>
        </w:rPr>
        <w:tab/>
      </w:r>
      <w:r w:rsidR="00AA2082" w:rsidRPr="000C234A">
        <w:rPr>
          <w:rFonts w:ascii="Arial" w:hAnsi="Arial" w:cs="Arial"/>
          <w:b/>
          <w:color w:val="000000" w:themeColor="text1"/>
          <w:sz w:val="28"/>
          <w:szCs w:val="28"/>
        </w:rPr>
        <w:t>12</w:t>
      </w:r>
    </w:p>
    <w:p w14:paraId="41A44255" w14:textId="03EE5C8B" w:rsidR="00855EAC" w:rsidRPr="000C234A" w:rsidRDefault="00245B4A" w:rsidP="000C234A">
      <w:pPr>
        <w:pStyle w:val="Vvojcen-zkladntext"/>
        <w:rPr>
          <w:rFonts w:cs="Arial"/>
        </w:rPr>
      </w:pPr>
      <w:r w:rsidRPr="00B05191">
        <w:rPr>
          <w:rFonts w:cs="Arial"/>
        </w:rPr>
        <w:t xml:space="preserve">Při stanovení </w:t>
      </w:r>
      <w:r w:rsidR="00BC198C" w:rsidRPr="000C234A">
        <w:rPr>
          <w:rFonts w:cs="Arial"/>
        </w:rPr>
        <w:t xml:space="preserve">měsíčních </w:t>
      </w:r>
      <w:r w:rsidRPr="00B05191">
        <w:rPr>
          <w:rFonts w:cs="Arial"/>
        </w:rPr>
        <w:t xml:space="preserve">cen </w:t>
      </w:r>
      <w:r w:rsidR="00BC198C" w:rsidRPr="000C234A">
        <w:rPr>
          <w:rFonts w:cs="Arial"/>
        </w:rPr>
        <w:t xml:space="preserve">pronájmu fyzické infrastruktury </w:t>
      </w:r>
      <w:r w:rsidRPr="00B05191">
        <w:rPr>
          <w:rFonts w:cs="Arial"/>
        </w:rPr>
        <w:t>je nutné v souladu s § 17 odst. 3 Zákona</w:t>
      </w:r>
      <w:r w:rsidRPr="000C234A">
        <w:rPr>
          <w:rFonts w:cs="Arial"/>
        </w:rPr>
        <w:t xml:space="preserve"> zohlednit dopad na obchodní plán povinné osoby.</w:t>
      </w:r>
      <w:r w:rsidR="00855EAC" w:rsidRPr="000C234A">
        <w:rPr>
          <w:rFonts w:cs="Arial"/>
        </w:rPr>
        <w:t xml:space="preserve"> Obchodní plány </w:t>
      </w:r>
      <w:r w:rsidR="00855EAC" w:rsidRPr="00975ACC">
        <w:rPr>
          <w:rFonts w:cs="Arial"/>
        </w:rPr>
        <w:t>povinných osob z různých infrastrukturních sektorů jsou přitom odlišné, přičemž zásadní rozdíl z hlediska dopadu stanoven</w:t>
      </w:r>
      <w:r w:rsidR="00336193" w:rsidRPr="00975ACC">
        <w:rPr>
          <w:rFonts w:cs="Arial"/>
        </w:rPr>
        <w:t>ých</w:t>
      </w:r>
      <w:r w:rsidR="00855EAC" w:rsidRPr="00975ACC">
        <w:rPr>
          <w:rFonts w:cs="Arial"/>
        </w:rPr>
        <w:t xml:space="preserve"> velkoobchodních cen je rozdíl obchodních plánů povinných osob, které jsou zároveň podnikateli v sektoru elektronických komunikací a zpřístupňovanou fyzickou infrastrukturu sami využívají pro poskytování služeb elektronických komunikací a po</w:t>
      </w:r>
      <w:r w:rsidR="00855EAC" w:rsidRPr="00B05191">
        <w:rPr>
          <w:rFonts w:cs="Arial"/>
        </w:rPr>
        <w:t>vinných osob, které v sektoru elektronických komunikací nepůsobí a zpřístupňovanou infrastrukturu neposkytují svým konkurentům (či obecně subjektům, se kterými jsou v následné interakci na trzích elektronických komunikací). Tento rozdíl obchodních plánů by pak měl být zohledněn i</w:t>
      </w:r>
      <w:r w:rsidR="00A4152A" w:rsidRPr="00B05191">
        <w:rPr>
          <w:rFonts w:cs="Arial"/>
        </w:rPr>
        <w:t> </w:t>
      </w:r>
      <w:r w:rsidR="00855EAC" w:rsidRPr="00B300B4">
        <w:rPr>
          <w:rFonts w:cs="Arial"/>
        </w:rPr>
        <w:t>při stanovení velkoobchodních cen při řešení sporů ze strany ČTÚ</w:t>
      </w:r>
      <w:r w:rsidR="00855EAC" w:rsidRPr="00CA4021">
        <w:rPr>
          <w:rFonts w:cs="Arial"/>
        </w:rPr>
        <w:t>.</w:t>
      </w:r>
      <w:r w:rsidR="00570F0C" w:rsidRPr="00CA4021">
        <w:rPr>
          <w:rFonts w:cs="Arial"/>
        </w:rPr>
        <w:t xml:space="preserve"> Dělící hranicí by</w:t>
      </w:r>
      <w:r w:rsidR="00855EAC" w:rsidRPr="00CA4021">
        <w:rPr>
          <w:rFonts w:cs="Arial"/>
        </w:rPr>
        <w:t xml:space="preserve"> při tom neměla být samotná příslušnost povinné osoby mezi operátory ze sektoru elektronických komunikací, ale jen mezi takové operátory, kteří</w:t>
      </w:r>
      <w:r w:rsidR="00855EAC" w:rsidRPr="00A533AC">
        <w:rPr>
          <w:rFonts w:cs="Arial"/>
        </w:rPr>
        <w:t xml:space="preserve"> s využitím své</w:t>
      </w:r>
      <w:r w:rsidR="00CB3F96" w:rsidRPr="00A533AC">
        <w:rPr>
          <w:rFonts w:cs="Arial"/>
        </w:rPr>
        <w:t xml:space="preserve"> zpřístupňované</w:t>
      </w:r>
      <w:r w:rsidR="00855EAC" w:rsidRPr="009B2DD6">
        <w:rPr>
          <w:rFonts w:cs="Arial"/>
        </w:rPr>
        <w:t xml:space="preserve"> fyzické infrastruktury konkurují či s</w:t>
      </w:r>
      <w:r w:rsidR="00855EAC" w:rsidRPr="00AF28AB">
        <w:rPr>
          <w:rFonts w:cs="Arial"/>
        </w:rPr>
        <w:t> vysokou mírou pravděpodobnosti bu</w:t>
      </w:r>
      <w:r w:rsidR="00855EAC" w:rsidRPr="008A1875">
        <w:rPr>
          <w:rFonts w:cs="Arial"/>
        </w:rPr>
        <w:t>dou konkurovat oprávněným osobám na</w:t>
      </w:r>
      <w:r w:rsidR="00570F0C" w:rsidRPr="008A1875">
        <w:rPr>
          <w:rFonts w:cs="Arial"/>
        </w:rPr>
        <w:t xml:space="preserve"> navazujících</w:t>
      </w:r>
      <w:r w:rsidR="00855EAC" w:rsidRPr="008A1875">
        <w:rPr>
          <w:rFonts w:cs="Arial"/>
        </w:rPr>
        <w:t xml:space="preserve"> trzí</w:t>
      </w:r>
      <w:r w:rsidR="00570F0C" w:rsidRPr="008A1875">
        <w:rPr>
          <w:rFonts w:cs="Arial"/>
        </w:rPr>
        <w:t>ch</w:t>
      </w:r>
      <w:r w:rsidR="00570F0C" w:rsidRPr="00BF6EEA">
        <w:rPr>
          <w:rFonts w:cs="Arial"/>
        </w:rPr>
        <w:t xml:space="preserve"> služeb, které využívají vysokorychlostních sítí elektronických komunikací</w:t>
      </w:r>
      <w:r w:rsidR="00570F0C" w:rsidRPr="001C3993">
        <w:rPr>
          <w:rStyle w:val="Znakapoznpodarou"/>
          <w:rFonts w:cs="Arial"/>
        </w:rPr>
        <w:footnoteReference w:id="3"/>
      </w:r>
      <w:r w:rsidR="00570F0C" w:rsidRPr="001C3993">
        <w:rPr>
          <w:rFonts w:cs="Arial"/>
        </w:rPr>
        <w:t xml:space="preserve">. Pokud </w:t>
      </w:r>
      <w:r w:rsidR="00C66D42" w:rsidRPr="001C3993">
        <w:rPr>
          <w:rFonts w:cs="Arial"/>
        </w:rPr>
        <w:t>povinná osoba</w:t>
      </w:r>
      <w:r w:rsidR="00570F0C" w:rsidRPr="001C3993">
        <w:rPr>
          <w:rFonts w:cs="Arial"/>
        </w:rPr>
        <w:t xml:space="preserve"> z řad operátorů elektronických komunikací</w:t>
      </w:r>
      <w:r w:rsidR="00C66D42" w:rsidRPr="001C3993">
        <w:rPr>
          <w:rFonts w:cs="Arial"/>
        </w:rPr>
        <w:t xml:space="preserve"> neposkytuje</w:t>
      </w:r>
      <w:r w:rsidR="00CB3F96" w:rsidRPr="001C3993">
        <w:rPr>
          <w:rFonts w:cs="Arial"/>
        </w:rPr>
        <w:t xml:space="preserve"> prostřednictvím zpřístupňované fyzické infrastruktury</w:t>
      </w:r>
      <w:r w:rsidR="00C66D42" w:rsidRPr="001C3993">
        <w:rPr>
          <w:rFonts w:cs="Arial"/>
        </w:rPr>
        <w:t xml:space="preserve"> </w:t>
      </w:r>
      <w:r w:rsidR="00C66D42" w:rsidRPr="00A74E17">
        <w:rPr>
          <w:rFonts w:cs="Arial"/>
        </w:rPr>
        <w:t xml:space="preserve">služby využívající vysokorychlostní síť elektronických komunikací a ani tyto služby neplánuje </w:t>
      </w:r>
      <w:r w:rsidR="00C66D42" w:rsidRPr="00A9311F">
        <w:rPr>
          <w:rFonts w:cs="Arial"/>
        </w:rPr>
        <w:t xml:space="preserve">s velkou mírou </w:t>
      </w:r>
      <w:r w:rsidR="00D04A23" w:rsidRPr="001313C9">
        <w:rPr>
          <w:rFonts w:cs="Arial"/>
        </w:rPr>
        <w:t>pravděpodobnosti</w:t>
      </w:r>
      <w:r w:rsidR="00C66D42" w:rsidRPr="001313C9">
        <w:rPr>
          <w:rFonts w:cs="Arial"/>
        </w:rPr>
        <w:t xml:space="preserve"> nabí</w:t>
      </w:r>
      <w:r w:rsidR="00C66D42" w:rsidRPr="000C234A">
        <w:rPr>
          <w:rFonts w:cs="Arial"/>
        </w:rPr>
        <w:t>zet, není důvod se ke zpřístupňované fyzické infrastruktuře chovat odlišně než u</w:t>
      </w:r>
      <w:r w:rsidR="00CB3F96" w:rsidRPr="000C234A">
        <w:rPr>
          <w:rFonts w:cs="Arial"/>
        </w:rPr>
        <w:t> </w:t>
      </w:r>
      <w:r w:rsidR="00C66D42" w:rsidRPr="000C234A">
        <w:rPr>
          <w:rFonts w:cs="Arial"/>
        </w:rPr>
        <w:t>povinných osob mimo okruh operátorů elektronických komunikací.</w:t>
      </w:r>
    </w:p>
    <w:p w14:paraId="55918FAB" w14:textId="2676525F" w:rsidR="00D04A23" w:rsidRPr="000C234A" w:rsidRDefault="00D04A23" w:rsidP="000C234A">
      <w:pPr>
        <w:pStyle w:val="Vvojcen-zkladntext"/>
        <w:rPr>
          <w:rFonts w:cs="Arial"/>
        </w:rPr>
      </w:pPr>
      <w:r w:rsidRPr="000C234A">
        <w:rPr>
          <w:rFonts w:cs="Arial"/>
        </w:rPr>
        <w:t>Odlišný metodický přístup k oběma skupinám povinných osob spočívá ve stanovení rozdílného alokačního klíče pro náklady na zpřístupňovanou fyzickou infrastrukturu.</w:t>
      </w:r>
      <w:r w:rsidR="00B23DD0" w:rsidRPr="000C234A">
        <w:rPr>
          <w:rFonts w:cs="Arial"/>
        </w:rPr>
        <w:t xml:space="preserve"> U</w:t>
      </w:r>
      <w:r w:rsidR="00A4152A" w:rsidRPr="000C234A">
        <w:rPr>
          <w:rFonts w:cs="Arial"/>
        </w:rPr>
        <w:t> </w:t>
      </w:r>
      <w:r w:rsidR="00B23DD0" w:rsidRPr="000C234A">
        <w:rPr>
          <w:rFonts w:cs="Arial"/>
        </w:rPr>
        <w:t>povinných osob mimo sektor elektronických komunikací, resp.</w:t>
      </w:r>
      <w:r w:rsidR="000B2F39" w:rsidRPr="000C234A">
        <w:rPr>
          <w:rFonts w:cs="Arial"/>
        </w:rPr>
        <w:t xml:space="preserve"> osob, které nepůsobí</w:t>
      </w:r>
      <w:r w:rsidR="00B23DD0" w:rsidRPr="000C234A">
        <w:rPr>
          <w:rFonts w:cs="Arial"/>
        </w:rPr>
        <w:t xml:space="preserve"> </w:t>
      </w:r>
      <w:r w:rsidR="00CB3F96" w:rsidRPr="000C234A">
        <w:rPr>
          <w:rFonts w:cs="Arial"/>
        </w:rPr>
        <w:t xml:space="preserve">(s využitím zpřístupňované infrastruktury) </w:t>
      </w:r>
      <w:r w:rsidR="00B23DD0" w:rsidRPr="000C234A">
        <w:rPr>
          <w:rFonts w:cs="Arial"/>
        </w:rPr>
        <w:t>na trzích služeb využívajících vysokorychlostní sítě elektronických komunikací, je vhodné stanovit alokační klíč, který zohlední pouze inkrementálně využitou kapacitu (např. využitou plochu, nosnost)</w:t>
      </w:r>
      <w:r w:rsidR="005B42B8" w:rsidRPr="000C234A">
        <w:rPr>
          <w:rFonts w:cs="Arial"/>
        </w:rPr>
        <w:t xml:space="preserve"> </w:t>
      </w:r>
      <w:r w:rsidR="000B2F39" w:rsidRPr="000C234A">
        <w:rPr>
          <w:rFonts w:cs="Arial"/>
        </w:rPr>
        <w:t>prvku fyzické infrastruktury, neboť primárním důvodem výstavby této infrastruktury bylo poskytování služeb</w:t>
      </w:r>
      <w:r w:rsidR="00E632B1" w:rsidRPr="000C234A">
        <w:rPr>
          <w:rFonts w:cs="Arial"/>
        </w:rPr>
        <w:t xml:space="preserve"> na odlišných trzích (většinou</w:t>
      </w:r>
      <w:r w:rsidR="00BF0F83" w:rsidRPr="000C234A">
        <w:rPr>
          <w:rFonts w:cs="Arial"/>
        </w:rPr>
        <w:t xml:space="preserve"> i</w:t>
      </w:r>
      <w:r w:rsidR="00E632B1" w:rsidRPr="000C234A">
        <w:rPr>
          <w:rFonts w:cs="Arial"/>
        </w:rPr>
        <w:t xml:space="preserve"> v</w:t>
      </w:r>
      <w:r w:rsidR="000B2F39" w:rsidRPr="000C234A">
        <w:rPr>
          <w:rFonts w:cs="Arial"/>
        </w:rPr>
        <w:t xml:space="preserve"> odlišných sektorech hospodářství), na kterých, oproti trhům, na nichž působí oprávněné subjekty, panují odlišné podmínky, tj. zejm. odlišná cenová hladina, úroveň konkurence, platební podmínky apod.</w:t>
      </w:r>
      <w:r w:rsidR="004B74DA" w:rsidRPr="000C234A">
        <w:rPr>
          <w:rFonts w:cs="Arial"/>
        </w:rPr>
        <w:t xml:space="preserve"> V těchto případech je žádoucí poskytnout povinné osobě úhradu nákladů připadajících právě jen na inkrementálně využitou kapacitu, a tím dostát jak požadavku § 17 odst. 3 Zákona na stanovení ceny zahrnující ekonomicky oprávněné náklady, tak minimalizovat výši velkoobchodní ceny, a</w:t>
      </w:r>
      <w:r w:rsidR="00A4152A" w:rsidRPr="000C234A">
        <w:rPr>
          <w:rFonts w:cs="Arial"/>
        </w:rPr>
        <w:t> </w:t>
      </w:r>
      <w:r w:rsidR="004B74DA" w:rsidRPr="000C234A">
        <w:rPr>
          <w:rFonts w:cs="Arial"/>
        </w:rPr>
        <w:t>tím i náklady na budování vysokorychlostních sítí elektronických komunikací.</w:t>
      </w:r>
    </w:p>
    <w:p w14:paraId="4C417653" w14:textId="4180F567" w:rsidR="00245B4A" w:rsidRPr="000C234A" w:rsidRDefault="00312074" w:rsidP="000C234A">
      <w:pPr>
        <w:pStyle w:val="Vvojcen-zkladntext"/>
        <w:rPr>
          <w:rFonts w:cs="Arial"/>
        </w:rPr>
      </w:pPr>
      <w:r w:rsidRPr="000C234A">
        <w:rPr>
          <w:rFonts w:cs="Arial"/>
        </w:rPr>
        <w:lastRenderedPageBreak/>
        <w:t>Naproti tomu</w:t>
      </w:r>
      <w:r w:rsidR="00BF0F83" w:rsidRPr="000C234A">
        <w:rPr>
          <w:rFonts w:cs="Arial"/>
        </w:rPr>
        <w:t xml:space="preserve"> v případě povinný</w:t>
      </w:r>
      <w:r w:rsidR="005311D2" w:rsidRPr="000C234A">
        <w:rPr>
          <w:rFonts w:cs="Arial"/>
        </w:rPr>
        <w:t>ch</w:t>
      </w:r>
      <w:r w:rsidR="00BF0F83" w:rsidRPr="000C234A">
        <w:rPr>
          <w:rFonts w:cs="Arial"/>
        </w:rPr>
        <w:t xml:space="preserve"> osob z řad operátorů elektronických komunikací, kteří</w:t>
      </w:r>
      <w:r w:rsidR="003514C3" w:rsidRPr="000C234A">
        <w:rPr>
          <w:rFonts w:cs="Arial"/>
        </w:rPr>
        <w:t xml:space="preserve"> prostřednictvím zpřístupňované </w:t>
      </w:r>
      <w:r w:rsidR="00B05191" w:rsidRPr="000C234A">
        <w:rPr>
          <w:rFonts w:cs="Arial"/>
        </w:rPr>
        <w:t>infrastruktury</w:t>
      </w:r>
      <w:r w:rsidR="00BF0F83" w:rsidRPr="000C234A">
        <w:rPr>
          <w:rFonts w:cs="Arial"/>
        </w:rPr>
        <w:t xml:space="preserve"> působí či s velkou mírou pravděpodobnosti budou působit na trzích služeb využívajících vysokorychlostní sítě elektronických komunikací je nezbytné</w:t>
      </w:r>
      <w:r w:rsidR="005311D2" w:rsidRPr="000C234A">
        <w:rPr>
          <w:rFonts w:cs="Arial"/>
        </w:rPr>
        <w:t>, v souladu s požadavkem § 17 odst. 3 Zákona na zohlednění dopadu stanovené ceny na obchodní plán povinné osoby,</w:t>
      </w:r>
      <w:r w:rsidR="00BF0F83" w:rsidRPr="000C234A">
        <w:rPr>
          <w:rFonts w:cs="Arial"/>
        </w:rPr>
        <w:t xml:space="preserve"> </w:t>
      </w:r>
      <w:r w:rsidR="00483FCE" w:rsidRPr="000C234A">
        <w:rPr>
          <w:rFonts w:cs="Arial"/>
        </w:rPr>
        <w:t>vzít do úvahy vzájemně konkurenční vztah mezi povinnou a oprávněnou osobou, které působí (či pravděpodobně budou působit) na stejných trzích. Aby na těchto trzích nedocházelo k</w:t>
      </w:r>
      <w:r w:rsidR="00D109B7" w:rsidRPr="000C234A">
        <w:rPr>
          <w:rFonts w:cs="Arial"/>
        </w:rPr>
        <w:t> </w:t>
      </w:r>
      <w:r w:rsidR="00483FCE" w:rsidRPr="000C234A">
        <w:rPr>
          <w:rFonts w:cs="Arial"/>
        </w:rPr>
        <w:t>znevýhodnění</w:t>
      </w:r>
      <w:r w:rsidR="00D109B7" w:rsidRPr="000C234A">
        <w:rPr>
          <w:rFonts w:cs="Arial"/>
        </w:rPr>
        <w:t xml:space="preserve"> těchto konkurenčních operátorů (povinné a oprávněné osoby</w:t>
      </w:r>
      <w:r w:rsidR="00EA0D77" w:rsidRPr="000C234A">
        <w:rPr>
          <w:rFonts w:cs="Arial"/>
        </w:rPr>
        <w:t xml:space="preserve"> či osob</w:t>
      </w:r>
      <w:r w:rsidR="00D109B7" w:rsidRPr="000C234A">
        <w:rPr>
          <w:rFonts w:cs="Arial"/>
        </w:rPr>
        <w:t>), je nezbytné</w:t>
      </w:r>
      <w:r w:rsidR="00EA0D77" w:rsidRPr="000C234A">
        <w:rPr>
          <w:rFonts w:cs="Arial"/>
        </w:rPr>
        <w:t xml:space="preserve"> stanovit cenu za přístup k fyzické infrastruktuře tak, aby všechny dotčené osoby hradily stejnou poměrnou část nákladů fyzické infrastruktury</w:t>
      </w:r>
      <w:r w:rsidR="00FF7C06" w:rsidRPr="000C234A">
        <w:rPr>
          <w:rFonts w:cs="Arial"/>
        </w:rPr>
        <w:t>, s ohledem na aktuálně využívanou kapacitu</w:t>
      </w:r>
      <w:r w:rsidR="00EA0D77" w:rsidRPr="000C234A">
        <w:rPr>
          <w:rFonts w:cs="Arial"/>
        </w:rPr>
        <w:t xml:space="preserve"> fyzické infrastruktury</w:t>
      </w:r>
      <w:r w:rsidR="00FF7C06" w:rsidRPr="000C234A">
        <w:rPr>
          <w:rFonts w:cs="Arial"/>
        </w:rPr>
        <w:t xml:space="preserve"> všemi dotčenými osobami (povinnou a oprávněnou, resp. oprávněnými). Alokace nákladů tak v tomto případě nebude vycházet z inkrementálně využité kapacity fyzické infrastruktury, ale z podílu na aktuálně využívané kapacitě fyzické infrastruktury. Tím bude zajištěno, že </w:t>
      </w:r>
      <w:r w:rsidR="008A1875">
        <w:rPr>
          <w:rFonts w:cs="Arial"/>
        </w:rPr>
        <w:t>povinná</w:t>
      </w:r>
      <w:r w:rsidR="00FF7C06" w:rsidRPr="00AF28AB">
        <w:rPr>
          <w:rFonts w:cs="Arial"/>
        </w:rPr>
        <w:t xml:space="preserve"> osoba (investor) neponese</w:t>
      </w:r>
      <w:r w:rsidR="00FF7C06" w:rsidRPr="008A1875">
        <w:rPr>
          <w:rFonts w:cs="Arial"/>
        </w:rPr>
        <w:t xml:space="preserve"> v cenách svých služeb, na rozdíl od svých konkurentů (oprávněných osob) i náklady</w:t>
      </w:r>
      <w:r w:rsidR="00EA4AD1" w:rsidRPr="008A1875">
        <w:rPr>
          <w:rFonts w:cs="Arial"/>
        </w:rPr>
        <w:t xml:space="preserve"> na veškerou aktuálně nevyužívanou kapacitu fyzické infrastruktury, které by mu ztěžovaly kon</w:t>
      </w:r>
      <w:r w:rsidR="00EA4AD1" w:rsidRPr="00BF6EEA">
        <w:rPr>
          <w:rFonts w:cs="Arial"/>
        </w:rPr>
        <w:t>kurenční pozici na dotčených trzích služeb využívajících vysokorychlostních sítí elektronických komun</w:t>
      </w:r>
      <w:r w:rsidR="003423C1" w:rsidRPr="00BF6EEA">
        <w:rPr>
          <w:rFonts w:cs="Arial"/>
        </w:rPr>
        <w:t>ikací.</w:t>
      </w:r>
    </w:p>
    <w:p w14:paraId="06653AE1" w14:textId="77777777" w:rsidR="003A4CE0" w:rsidRPr="00975ACC" w:rsidRDefault="003A4CE0" w:rsidP="00F67923">
      <w:pPr>
        <w:pStyle w:val="Vvojcen-nadpis2"/>
        <w:rPr>
          <w:rFonts w:eastAsia="MS Mincho"/>
          <w:lang w:eastAsia="ja-JP"/>
        </w:rPr>
      </w:pPr>
      <w:bookmarkStart w:id="18" w:name="_Toc484008746"/>
      <w:bookmarkStart w:id="19" w:name="_Toc484009738"/>
      <w:bookmarkStart w:id="20" w:name="_Toc484009795"/>
      <w:bookmarkStart w:id="21" w:name="_Toc484009852"/>
      <w:bookmarkStart w:id="22" w:name="_Toc484009930"/>
      <w:bookmarkStart w:id="23" w:name="_Toc484010708"/>
      <w:bookmarkStart w:id="24" w:name="_Toc496446430"/>
      <w:bookmarkStart w:id="25" w:name="_Toc496518784"/>
      <w:bookmarkEnd w:id="18"/>
      <w:bookmarkEnd w:id="19"/>
      <w:bookmarkEnd w:id="20"/>
      <w:bookmarkEnd w:id="21"/>
      <w:bookmarkEnd w:id="22"/>
      <w:bookmarkEnd w:id="23"/>
      <w:r w:rsidRPr="00975ACC">
        <w:rPr>
          <w:rFonts w:eastAsia="MS Mincho"/>
          <w:lang w:eastAsia="ja-JP"/>
        </w:rPr>
        <w:t xml:space="preserve">Výpočet </w:t>
      </w:r>
      <w:r w:rsidR="00D0199C" w:rsidRPr="00975ACC">
        <w:rPr>
          <w:rFonts w:eastAsia="MS Mincho"/>
          <w:lang w:eastAsia="ja-JP"/>
        </w:rPr>
        <w:t xml:space="preserve">ročních </w:t>
      </w:r>
      <w:r w:rsidRPr="00975ACC">
        <w:rPr>
          <w:rFonts w:eastAsia="MS Mincho"/>
          <w:lang w:eastAsia="ja-JP"/>
        </w:rPr>
        <w:t>odpisů</w:t>
      </w:r>
      <w:bookmarkEnd w:id="24"/>
      <w:bookmarkEnd w:id="25"/>
    </w:p>
    <w:p w14:paraId="74906C5A" w14:textId="074D38BF" w:rsidR="00EE1E45" w:rsidRPr="00975ACC" w:rsidRDefault="00A425F1" w:rsidP="00F67923">
      <w:pPr>
        <w:pStyle w:val="Vvojcen-zkladntext"/>
        <w:rPr>
          <w:rFonts w:cs="Arial"/>
        </w:rPr>
      </w:pPr>
      <w:r w:rsidRPr="00B05191">
        <w:rPr>
          <w:rFonts w:eastAsia="MS Mincho" w:cs="Arial"/>
          <w:lang w:eastAsia="ja-JP"/>
        </w:rPr>
        <w:t xml:space="preserve">ČTÚ </w:t>
      </w:r>
      <w:r w:rsidR="007D4EDE" w:rsidRPr="00B05191">
        <w:rPr>
          <w:rFonts w:eastAsia="MS Mincho" w:cs="Arial"/>
          <w:lang w:eastAsia="ja-JP"/>
        </w:rPr>
        <w:t xml:space="preserve">pro </w:t>
      </w:r>
      <w:r w:rsidR="003A4CE0" w:rsidRPr="00B05191">
        <w:rPr>
          <w:rFonts w:eastAsia="MS Mincho" w:cs="Arial"/>
          <w:lang w:eastAsia="ja-JP"/>
        </w:rPr>
        <w:t>stanovení odpisů</w:t>
      </w:r>
      <w:r w:rsidR="007D4EDE" w:rsidRPr="00B05191">
        <w:rPr>
          <w:rFonts w:eastAsia="MS Mincho" w:cs="Arial"/>
          <w:lang w:eastAsia="ja-JP"/>
        </w:rPr>
        <w:t xml:space="preserve"> na prvky fyzické </w:t>
      </w:r>
      <w:r w:rsidR="007D4EDE" w:rsidRPr="00B300B4">
        <w:rPr>
          <w:rFonts w:eastAsia="MS Mincho" w:cs="Arial"/>
          <w:lang w:eastAsia="ja-JP"/>
        </w:rPr>
        <w:t xml:space="preserve">infrastruktury </w:t>
      </w:r>
      <w:r w:rsidR="00DC42CE" w:rsidRPr="00B300B4">
        <w:rPr>
          <w:rFonts w:eastAsia="MS Mincho" w:cs="Arial"/>
          <w:lang w:eastAsia="ja-JP"/>
        </w:rPr>
        <w:t xml:space="preserve">přiměřeně </w:t>
      </w:r>
      <w:r w:rsidRPr="00B300B4">
        <w:rPr>
          <w:rFonts w:eastAsia="MS Mincho" w:cs="Arial"/>
          <w:lang w:eastAsia="ja-JP"/>
        </w:rPr>
        <w:t xml:space="preserve">použije </w:t>
      </w:r>
      <w:r w:rsidR="007D4EDE" w:rsidRPr="00B300B4">
        <w:rPr>
          <w:rFonts w:eastAsia="MS Mincho" w:cs="Arial"/>
          <w:lang w:eastAsia="ja-JP"/>
        </w:rPr>
        <w:t xml:space="preserve">metodiku </w:t>
      </w:r>
      <w:r w:rsidR="007D4EDE" w:rsidRPr="00CA4021">
        <w:rPr>
          <w:rFonts w:cs="Arial"/>
        </w:rPr>
        <w:t>BU</w:t>
      </w:r>
      <w:r w:rsidR="000E260E" w:rsidRPr="00CA4021">
        <w:rPr>
          <w:rFonts w:cs="Arial"/>
        </w:rPr>
        <w:t>-</w:t>
      </w:r>
      <w:r w:rsidR="007D4EDE" w:rsidRPr="00CA4021">
        <w:rPr>
          <w:rFonts w:cs="Arial"/>
        </w:rPr>
        <w:t>LRIC (bottom-up long-run incremental costs), kter</w:t>
      </w:r>
      <w:r w:rsidR="00B43D6D" w:rsidRPr="00CA4021">
        <w:rPr>
          <w:rFonts w:cs="Arial"/>
        </w:rPr>
        <w:t xml:space="preserve">ou konzistentně v regulační praxi </w:t>
      </w:r>
      <w:r w:rsidR="00B43D6D" w:rsidRPr="00A533AC">
        <w:rPr>
          <w:rFonts w:cs="Arial"/>
        </w:rPr>
        <w:t>využívá pro stanovení velkoobchodních cen přístupu na řadě velkoobchodních trhů</w:t>
      </w:r>
      <w:r w:rsidR="00B43D6D" w:rsidRPr="00CA4021">
        <w:rPr>
          <w:rStyle w:val="Znakapoznpodarou"/>
          <w:rFonts w:cs="Arial"/>
        </w:rPr>
        <w:footnoteReference w:id="4"/>
      </w:r>
      <w:r w:rsidR="00B43D6D" w:rsidRPr="00CA4021">
        <w:rPr>
          <w:rFonts w:cs="Arial"/>
        </w:rPr>
        <w:t xml:space="preserve"> a kter</w:t>
      </w:r>
      <w:r w:rsidR="00CE0C5E" w:rsidRPr="00CA4021">
        <w:rPr>
          <w:rFonts w:cs="Arial"/>
        </w:rPr>
        <w:t>á</w:t>
      </w:r>
      <w:r w:rsidR="007D4EDE" w:rsidRPr="00CA4021">
        <w:rPr>
          <w:rFonts w:cs="Arial"/>
        </w:rPr>
        <w:t xml:space="preserve"> umožňuje návratnost efektivně vynaložených nákladů.</w:t>
      </w:r>
      <w:r w:rsidR="00B62EEC" w:rsidRPr="00A533AC">
        <w:rPr>
          <w:rFonts w:cs="Arial"/>
        </w:rPr>
        <w:t xml:space="preserve"> Modelová kalkulace</w:t>
      </w:r>
      <w:r w:rsidRPr="00975ACC">
        <w:rPr>
          <w:rFonts w:cs="Arial"/>
        </w:rPr>
        <w:t xml:space="preserve"> vychází z principů oceňování majetku na bázi současných cen včetně moderních ekvivalentů prvků sítí (</w:t>
      </w:r>
      <w:r w:rsidRPr="00CA4021">
        <w:rPr>
          <w:rFonts w:cs="Arial"/>
        </w:rPr>
        <w:t>CCA</w:t>
      </w:r>
      <w:r w:rsidRPr="00975ACC">
        <w:rPr>
          <w:rFonts w:cs="Arial"/>
        </w:rPr>
        <w:t>/MEA)</w:t>
      </w:r>
      <w:r w:rsidR="00DC42CE" w:rsidRPr="00975ACC">
        <w:rPr>
          <w:rFonts w:cs="Arial"/>
        </w:rPr>
        <w:t>,</w:t>
      </w:r>
      <w:r w:rsidR="001E1B16" w:rsidRPr="00975ACC">
        <w:rPr>
          <w:rFonts w:cs="Arial"/>
        </w:rPr>
        <w:t xml:space="preserve"> neboť aktuálně platné ceny poskytují potencionálnímu investorovi objekt</w:t>
      </w:r>
      <w:r w:rsidR="004113F0" w:rsidRPr="00975ACC">
        <w:rPr>
          <w:rFonts w:cs="Arial"/>
        </w:rPr>
        <w:t>ivní obraz o výdajích, které by</w:t>
      </w:r>
      <w:r w:rsidR="001E1B16" w:rsidRPr="00975ACC">
        <w:rPr>
          <w:rFonts w:cs="Arial"/>
        </w:rPr>
        <w:t xml:space="preserve"> jinak </w:t>
      </w:r>
      <w:r w:rsidR="004B3FEF" w:rsidRPr="00CA4021">
        <w:rPr>
          <w:rFonts w:cs="Arial"/>
        </w:rPr>
        <w:t>musel</w:t>
      </w:r>
      <w:r w:rsidR="004B3FEF" w:rsidRPr="00975ACC">
        <w:rPr>
          <w:rFonts w:cs="Arial"/>
        </w:rPr>
        <w:t xml:space="preserve"> sám </w:t>
      </w:r>
      <w:r w:rsidR="001E1B16" w:rsidRPr="00975ACC">
        <w:rPr>
          <w:rFonts w:cs="Arial"/>
        </w:rPr>
        <w:t xml:space="preserve">vynaložit při pořizování dané kapacity. Z tohoto pohledu </w:t>
      </w:r>
      <w:r w:rsidR="004B3FEF" w:rsidRPr="00975ACC">
        <w:rPr>
          <w:rFonts w:cs="Arial"/>
        </w:rPr>
        <w:t>je historické ocenění aktiv</w:t>
      </w:r>
      <w:r w:rsidR="001E1B16" w:rsidRPr="00975ACC">
        <w:rPr>
          <w:rFonts w:cs="Arial"/>
        </w:rPr>
        <w:t xml:space="preserve"> </w:t>
      </w:r>
      <w:r w:rsidR="00CB3346" w:rsidRPr="00975ACC">
        <w:rPr>
          <w:rFonts w:cs="Arial"/>
        </w:rPr>
        <w:t xml:space="preserve">méně </w:t>
      </w:r>
      <w:r w:rsidR="001E1B16" w:rsidRPr="00975ACC">
        <w:rPr>
          <w:rFonts w:cs="Arial"/>
        </w:rPr>
        <w:t xml:space="preserve">objektivní a nevhodné vzhledem k tomu, že odráží nikoliv současné podmínky, kdy se investor rozhoduje, ale </w:t>
      </w:r>
      <w:r w:rsidR="00CE0C5E" w:rsidRPr="00975ACC">
        <w:rPr>
          <w:rFonts w:cs="Arial"/>
        </w:rPr>
        <w:t>historické</w:t>
      </w:r>
      <w:r w:rsidR="001E1B16" w:rsidRPr="00975ACC">
        <w:rPr>
          <w:rFonts w:cs="Arial"/>
        </w:rPr>
        <w:t xml:space="preserve">, které </w:t>
      </w:r>
      <w:r w:rsidR="00EE1E45" w:rsidRPr="00975ACC">
        <w:rPr>
          <w:rFonts w:cs="Arial"/>
        </w:rPr>
        <w:t>nereflektují</w:t>
      </w:r>
      <w:r w:rsidR="00CE0C5E" w:rsidRPr="00975ACC">
        <w:rPr>
          <w:rFonts w:cs="Arial"/>
        </w:rPr>
        <w:t xml:space="preserve"> současnou cenovou hladinu při budování či obnovování prvků fyzické infrastruktury</w:t>
      </w:r>
      <w:r w:rsidR="001E1B16" w:rsidRPr="00975ACC">
        <w:rPr>
          <w:rFonts w:cs="Arial"/>
        </w:rPr>
        <w:t>.</w:t>
      </w:r>
      <w:r w:rsidR="009A0CEE" w:rsidRPr="00975ACC">
        <w:rPr>
          <w:rFonts w:cs="Arial"/>
        </w:rPr>
        <w:t xml:space="preserve"> Tento </w:t>
      </w:r>
      <w:r w:rsidR="009A0CEE" w:rsidRPr="00CA4021">
        <w:rPr>
          <w:rFonts w:cs="Arial"/>
        </w:rPr>
        <w:t xml:space="preserve">přístup založený na oceňování aktiv v současných cenách </w:t>
      </w:r>
      <w:r w:rsidR="002C4FF4" w:rsidRPr="00CA4021">
        <w:rPr>
          <w:rFonts w:cs="Arial"/>
        </w:rPr>
        <w:t>poskytuje</w:t>
      </w:r>
      <w:r w:rsidR="009A0CEE" w:rsidRPr="00CA4021">
        <w:rPr>
          <w:rFonts w:cs="Arial"/>
        </w:rPr>
        <w:t xml:space="preserve"> všem zainteresovaným subjektům jasné signály pro efektivní vstup na trh.</w:t>
      </w:r>
      <w:r w:rsidR="00145402" w:rsidRPr="00A533AC">
        <w:rPr>
          <w:rFonts w:cs="Arial"/>
        </w:rPr>
        <w:t xml:space="preserve"> Mimoto je potřebné zdůraznit, že investování do sítí představuje kontinuální proces, kdy </w:t>
      </w:r>
      <w:r w:rsidR="00A73026" w:rsidRPr="009B2DD6">
        <w:rPr>
          <w:rFonts w:cs="Arial"/>
        </w:rPr>
        <w:t xml:space="preserve">vedle pořizování nových prvků dochází i k tomu, že </w:t>
      </w:r>
      <w:r w:rsidR="00145402" w:rsidRPr="00AF28AB">
        <w:rPr>
          <w:rFonts w:cs="Arial"/>
        </w:rPr>
        <w:t>již odepsané prvky se průběžně obnovují</w:t>
      </w:r>
      <w:r w:rsidR="00A73026" w:rsidRPr="00AF28AB">
        <w:rPr>
          <w:rFonts w:cs="Arial"/>
        </w:rPr>
        <w:t>, a to</w:t>
      </w:r>
      <w:r w:rsidR="00145402" w:rsidRPr="00AF28AB">
        <w:rPr>
          <w:rFonts w:cs="Arial"/>
        </w:rPr>
        <w:t xml:space="preserve"> </w:t>
      </w:r>
      <w:r w:rsidR="00A73026" w:rsidRPr="00AF28AB">
        <w:rPr>
          <w:rFonts w:cs="Arial"/>
        </w:rPr>
        <w:t>za současných technologických a</w:t>
      </w:r>
      <w:r w:rsidR="004B3FEF" w:rsidRPr="00AF28AB">
        <w:rPr>
          <w:rFonts w:cs="Arial"/>
        </w:rPr>
        <w:t> </w:t>
      </w:r>
      <w:r w:rsidR="00A73026" w:rsidRPr="008A1875">
        <w:rPr>
          <w:rFonts w:cs="Arial"/>
        </w:rPr>
        <w:t>cenových podmínek.</w:t>
      </w:r>
      <w:r w:rsidR="00E73549" w:rsidRPr="000C234A">
        <w:rPr>
          <w:rFonts w:cs="Arial"/>
        </w:rPr>
        <w:t xml:space="preserve"> </w:t>
      </w:r>
      <w:r w:rsidR="00E73549" w:rsidRPr="00B05191">
        <w:rPr>
          <w:rFonts w:cs="Arial"/>
        </w:rPr>
        <w:t>P</w:t>
      </w:r>
      <w:r w:rsidR="00E73549" w:rsidRPr="000C234A">
        <w:rPr>
          <w:rFonts w:cs="Arial"/>
        </w:rPr>
        <w:t>ořizovací ceny jednotlivých typů fyzické infrastruktury budou zahrnovat veškeré náklady související s jejím vybudováním,</w:t>
      </w:r>
      <w:r w:rsidR="00E85D34" w:rsidRPr="000C234A">
        <w:rPr>
          <w:rFonts w:cs="Arial"/>
        </w:rPr>
        <w:t xml:space="preserve"> typicky</w:t>
      </w:r>
      <w:r w:rsidR="00E73549" w:rsidRPr="000C234A">
        <w:rPr>
          <w:rFonts w:cs="Arial"/>
        </w:rPr>
        <w:t xml:space="preserve"> </w:t>
      </w:r>
      <w:r w:rsidR="004E4B33" w:rsidRPr="00B05191">
        <w:rPr>
          <w:rFonts w:cs="Arial"/>
        </w:rPr>
        <w:t>např. na</w:t>
      </w:r>
      <w:r w:rsidR="00E73549" w:rsidRPr="000C234A">
        <w:rPr>
          <w:rFonts w:cs="Arial"/>
        </w:rPr>
        <w:t xml:space="preserve"> </w:t>
      </w:r>
      <w:r w:rsidR="00F023A3" w:rsidRPr="00B05191">
        <w:rPr>
          <w:rFonts w:cs="Arial"/>
        </w:rPr>
        <w:t xml:space="preserve">výkopy, </w:t>
      </w:r>
      <w:r w:rsidR="004E4B33" w:rsidRPr="00B05191">
        <w:rPr>
          <w:rFonts w:cs="Arial"/>
        </w:rPr>
        <w:t>uložení infrastruktury,</w:t>
      </w:r>
      <w:r w:rsidR="004E4B33" w:rsidRPr="000C234A">
        <w:rPr>
          <w:rFonts w:cs="Arial"/>
        </w:rPr>
        <w:t xml:space="preserve"> na</w:t>
      </w:r>
      <w:r w:rsidR="004E4B33" w:rsidRPr="00B05191">
        <w:rPr>
          <w:rFonts w:cs="Arial"/>
        </w:rPr>
        <w:t xml:space="preserve">pojování, kalibrování, </w:t>
      </w:r>
      <w:r w:rsidR="00696E80" w:rsidRPr="000C234A">
        <w:rPr>
          <w:rFonts w:cs="Arial"/>
        </w:rPr>
        <w:t xml:space="preserve">geodetické </w:t>
      </w:r>
      <w:r w:rsidR="004E4B33" w:rsidRPr="00B05191">
        <w:rPr>
          <w:rFonts w:cs="Arial"/>
        </w:rPr>
        <w:t>zaměření pro evidenci</w:t>
      </w:r>
      <w:r w:rsidR="004E4B33" w:rsidRPr="000C234A">
        <w:rPr>
          <w:rFonts w:cs="Arial"/>
        </w:rPr>
        <w:t xml:space="preserve"> apod.</w:t>
      </w:r>
      <w:r w:rsidR="004E4B33" w:rsidRPr="00B05191">
        <w:rPr>
          <w:rFonts w:cs="Arial"/>
        </w:rPr>
        <w:t xml:space="preserve">, ale také náklady </w:t>
      </w:r>
      <w:r w:rsidR="004E4B33" w:rsidRPr="000C234A">
        <w:rPr>
          <w:rFonts w:cs="Arial"/>
        </w:rPr>
        <w:t xml:space="preserve">na </w:t>
      </w:r>
      <w:r w:rsidR="004E4B33" w:rsidRPr="00B05191">
        <w:rPr>
          <w:rFonts w:cs="Arial"/>
        </w:rPr>
        <w:t xml:space="preserve">související </w:t>
      </w:r>
      <w:r w:rsidR="00E73549" w:rsidRPr="000C234A">
        <w:rPr>
          <w:rFonts w:cs="Arial"/>
        </w:rPr>
        <w:t>služebnost</w:t>
      </w:r>
      <w:r w:rsidR="004E4B33" w:rsidRPr="00B05191">
        <w:rPr>
          <w:rFonts w:cs="Arial"/>
        </w:rPr>
        <w:t>.</w:t>
      </w:r>
      <w:r w:rsidR="00BF3F44" w:rsidRPr="000C234A">
        <w:rPr>
          <w:rFonts w:cs="Arial"/>
        </w:rPr>
        <w:t xml:space="preserve"> </w:t>
      </w:r>
    </w:p>
    <w:p w14:paraId="6399B5C0" w14:textId="77777777" w:rsidR="005E6554" w:rsidRPr="00A533AC" w:rsidRDefault="005E6554" w:rsidP="00F67923">
      <w:pPr>
        <w:pStyle w:val="Vvojcen-zkladntext"/>
        <w:rPr>
          <w:rFonts w:cs="Arial"/>
        </w:rPr>
      </w:pPr>
      <w:r w:rsidRPr="00975ACC">
        <w:rPr>
          <w:rFonts w:cs="Arial"/>
        </w:rPr>
        <w:t xml:space="preserve">Ocenění aktiv historickými cenami by rovněž potenciálně mohlo vést k velkým rozdílům ve velkoobchodních měsíčních cenách přístupu, a to i v rámci relativně malých oblastí (na úrovni obce), v závislosti na </w:t>
      </w:r>
      <w:r w:rsidRPr="00B05191">
        <w:rPr>
          <w:rFonts w:cs="Arial"/>
        </w:rPr>
        <w:t>stáří lokálně dostupné fyzické infrastruktury. To by při nabídce služeb na maloobchodním trhu mohlo dostat do konkurenční nevýhody operátory s vlastní, relativně novou sítí, kteří by soutěžili s levnějšími nabídkami operátorů využívajících regulovaného pří</w:t>
      </w:r>
      <w:r w:rsidRPr="00B300B4">
        <w:rPr>
          <w:rFonts w:cs="Arial"/>
        </w:rPr>
        <w:t>stupu k místně dostupné, relativně starší (a tedy levnější), fyzické infrastruktuře. Historické ocenění aktiv by tak mohlo zmařit návratnost vynaložených investic do již vyb</w:t>
      </w:r>
      <w:r w:rsidRPr="00CA4021">
        <w:rPr>
          <w:rFonts w:cs="Arial"/>
        </w:rPr>
        <w:t>udovaných sítí elektronických komunikací a potažmo i redukovat zdroje na investice nové.</w:t>
      </w:r>
    </w:p>
    <w:p w14:paraId="1ADE66BC" w14:textId="77777777" w:rsidR="00D80027" w:rsidRPr="000C234A" w:rsidRDefault="00AF418F" w:rsidP="00F67923">
      <w:pPr>
        <w:pStyle w:val="Vvojcen-zkladntext"/>
        <w:rPr>
          <w:rFonts w:eastAsiaTheme="minorHAnsi" w:cs="Arial"/>
          <w:color w:val="000000"/>
          <w:lang w:eastAsia="en-US"/>
        </w:rPr>
      </w:pPr>
      <w:r w:rsidRPr="009B2DD6">
        <w:rPr>
          <w:rFonts w:cs="Arial"/>
        </w:rPr>
        <w:t xml:space="preserve">Cenová </w:t>
      </w:r>
      <w:r w:rsidRPr="00975ACC">
        <w:rPr>
          <w:rFonts w:cs="Arial"/>
        </w:rPr>
        <w:t>k</w:t>
      </w:r>
      <w:r w:rsidR="00A425F1" w:rsidRPr="00975ACC">
        <w:rPr>
          <w:rFonts w:cs="Arial"/>
        </w:rPr>
        <w:t xml:space="preserve">alkulace bude provedena vlastníkem infrastruktury </w:t>
      </w:r>
      <w:r w:rsidR="00304DD6" w:rsidRPr="00975ACC">
        <w:rPr>
          <w:rFonts w:cs="Arial"/>
        </w:rPr>
        <w:t>v souladu se zásadou</w:t>
      </w:r>
      <w:r w:rsidR="00A425F1" w:rsidRPr="00975ACC">
        <w:rPr>
          <w:rFonts w:cs="Arial"/>
        </w:rPr>
        <w:t xml:space="preserve"> nákladové orientace, může zahrnovat </w:t>
      </w:r>
      <w:r w:rsidR="00304DD6" w:rsidRPr="00975ACC">
        <w:rPr>
          <w:rFonts w:cs="Arial"/>
        </w:rPr>
        <w:t>pouze</w:t>
      </w:r>
      <w:r w:rsidR="00A425F1" w:rsidRPr="00975ACC">
        <w:rPr>
          <w:rFonts w:cs="Arial"/>
        </w:rPr>
        <w:t xml:space="preserve"> efektivně a účelně vynaložené náklady</w:t>
      </w:r>
      <w:r w:rsidR="003A4CE0" w:rsidRPr="00975ACC">
        <w:rPr>
          <w:rFonts w:cs="Arial"/>
        </w:rPr>
        <w:t xml:space="preserve"> na pořízení aktiva včetně</w:t>
      </w:r>
      <w:r w:rsidR="00A425F1" w:rsidRPr="00975ACC">
        <w:rPr>
          <w:rFonts w:cs="Arial"/>
        </w:rPr>
        <w:t xml:space="preserve"> přiměřen</w:t>
      </w:r>
      <w:r w:rsidR="003A4CE0" w:rsidRPr="00975ACC">
        <w:rPr>
          <w:rFonts w:cs="Arial"/>
        </w:rPr>
        <w:t>ého</w:t>
      </w:r>
      <w:r w:rsidR="00A425F1" w:rsidRPr="00975ACC">
        <w:rPr>
          <w:rFonts w:cs="Arial"/>
        </w:rPr>
        <w:t xml:space="preserve"> zisk</w:t>
      </w:r>
      <w:r w:rsidR="003A4CE0" w:rsidRPr="00975ACC">
        <w:rPr>
          <w:rFonts w:cs="Arial"/>
        </w:rPr>
        <w:t>u</w:t>
      </w:r>
      <w:r w:rsidR="00A425F1" w:rsidRPr="00975ACC">
        <w:rPr>
          <w:rFonts w:cs="Arial"/>
        </w:rPr>
        <w:t xml:space="preserve">. </w:t>
      </w:r>
      <w:r w:rsidR="0008790C" w:rsidRPr="00975ACC">
        <w:rPr>
          <w:rFonts w:eastAsiaTheme="minorHAnsi" w:cs="Arial"/>
          <w:color w:val="000000"/>
          <w:lang w:eastAsia="en-US"/>
        </w:rPr>
        <w:t>Velikost přiměřeného zisku je obsažena v</w:t>
      </w:r>
      <w:r w:rsidR="00143D26" w:rsidRPr="00975ACC">
        <w:rPr>
          <w:rFonts w:eastAsiaTheme="minorHAnsi" w:cs="Arial"/>
          <w:color w:val="000000"/>
          <w:lang w:eastAsia="en-US"/>
        </w:rPr>
        <w:t> návratnosti vloženého kapitálu WACC</w:t>
      </w:r>
      <w:r w:rsidR="0033215C" w:rsidRPr="00975ACC">
        <w:rPr>
          <w:rFonts w:eastAsiaTheme="minorHAnsi" w:cs="Arial"/>
          <w:color w:val="000000"/>
          <w:lang w:eastAsia="en-US"/>
        </w:rPr>
        <w:t xml:space="preserve"> pro sektor elektronických komunikací</w:t>
      </w:r>
      <w:r w:rsidR="00143D26" w:rsidRPr="00975ACC">
        <w:rPr>
          <w:rFonts w:eastAsiaTheme="minorHAnsi" w:cs="Arial"/>
          <w:color w:val="000000"/>
          <w:lang w:eastAsia="en-US"/>
        </w:rPr>
        <w:t xml:space="preserve">, který v sobě integruje jak náklady financování externího dluhu, tak i </w:t>
      </w:r>
      <w:r w:rsidR="00143D26" w:rsidRPr="000C234A">
        <w:rPr>
          <w:rFonts w:eastAsiaTheme="minorHAnsi" w:cs="Arial"/>
          <w:color w:val="000000"/>
          <w:lang w:eastAsia="en-US"/>
        </w:rPr>
        <w:t xml:space="preserve">nezbytnou </w:t>
      </w:r>
      <w:r w:rsidR="00143D26" w:rsidRPr="00975ACC">
        <w:rPr>
          <w:rFonts w:eastAsiaTheme="minorHAnsi" w:cs="Arial"/>
          <w:color w:val="000000"/>
          <w:lang w:eastAsia="en-US"/>
        </w:rPr>
        <w:t xml:space="preserve">tvorbu zisku </w:t>
      </w:r>
      <w:r w:rsidR="004D0ECD" w:rsidRPr="000C234A">
        <w:rPr>
          <w:rFonts w:eastAsiaTheme="minorHAnsi" w:cs="Arial"/>
          <w:color w:val="000000"/>
          <w:lang w:eastAsia="en-US"/>
        </w:rPr>
        <w:t xml:space="preserve">určenou </w:t>
      </w:r>
      <w:r w:rsidR="00143D26" w:rsidRPr="00975ACC">
        <w:rPr>
          <w:rFonts w:eastAsiaTheme="minorHAnsi" w:cs="Arial"/>
          <w:color w:val="000000"/>
          <w:lang w:eastAsia="en-US"/>
        </w:rPr>
        <w:t xml:space="preserve">pro </w:t>
      </w:r>
      <w:r w:rsidR="00143D26" w:rsidRPr="00975ACC">
        <w:rPr>
          <w:rFonts w:eastAsiaTheme="minorHAnsi" w:cs="Arial"/>
          <w:color w:val="000000"/>
          <w:lang w:eastAsia="en-US"/>
        </w:rPr>
        <w:lastRenderedPageBreak/>
        <w:t xml:space="preserve">zhodnocení vlastní </w:t>
      </w:r>
      <w:r w:rsidR="004D0ECD" w:rsidRPr="000C234A">
        <w:rPr>
          <w:rFonts w:eastAsiaTheme="minorHAnsi" w:cs="Arial"/>
          <w:color w:val="000000"/>
          <w:lang w:eastAsia="en-US"/>
        </w:rPr>
        <w:t xml:space="preserve">vložené </w:t>
      </w:r>
      <w:r w:rsidR="00143D26" w:rsidRPr="00975ACC">
        <w:rPr>
          <w:rFonts w:eastAsiaTheme="minorHAnsi" w:cs="Arial"/>
          <w:color w:val="000000"/>
          <w:lang w:eastAsia="en-US"/>
        </w:rPr>
        <w:t xml:space="preserve">investice. </w:t>
      </w:r>
      <w:r w:rsidR="0033215C" w:rsidRPr="00975ACC">
        <w:rPr>
          <w:rFonts w:eastAsiaTheme="minorHAnsi" w:cs="Arial"/>
          <w:color w:val="000000"/>
          <w:lang w:eastAsia="en-US"/>
        </w:rPr>
        <w:t xml:space="preserve">Výše WACC v dalších infrastrukturních odvětvích se bude pravděpodobně částečně lišit, i když ne ve velkém rozsahu, neboť systémové předpoklady financování jsou </w:t>
      </w:r>
      <w:r w:rsidR="0033215C" w:rsidRPr="000C234A">
        <w:rPr>
          <w:rFonts w:eastAsiaTheme="minorHAnsi" w:cs="Arial"/>
          <w:color w:val="000000"/>
          <w:lang w:eastAsia="en-US"/>
        </w:rPr>
        <w:t>ve všech infrastrukturních odvětvích podobné. ČTÚ nicméně považuje za žádoucí p</w:t>
      </w:r>
      <w:r w:rsidR="00586C92" w:rsidRPr="000C234A">
        <w:rPr>
          <w:rFonts w:eastAsiaTheme="minorHAnsi" w:cs="Arial"/>
          <w:color w:val="000000"/>
          <w:lang w:eastAsia="en-US"/>
        </w:rPr>
        <w:t xml:space="preserve">oužít WACC pro sektor elektronických komunikací i pro stanovení cen přístupu k fyzické infrastruktuře vybudované povinnými osobami za účelem podnikání v jiných sektorech (plynárenství, energetika…) s ohledem na snahu neupřednostňovat využívání fyzické infrastruktury jen z určitých sektorů s nižší </w:t>
      </w:r>
      <w:r w:rsidR="004113F0" w:rsidRPr="000C234A">
        <w:rPr>
          <w:rFonts w:eastAsiaTheme="minorHAnsi" w:cs="Arial"/>
          <w:color w:val="000000"/>
          <w:lang w:eastAsia="en-US"/>
        </w:rPr>
        <w:t>výší</w:t>
      </w:r>
      <w:r w:rsidR="00586C92" w:rsidRPr="000C234A">
        <w:rPr>
          <w:rFonts w:eastAsiaTheme="minorHAnsi" w:cs="Arial"/>
          <w:color w:val="000000"/>
          <w:lang w:eastAsia="en-US"/>
        </w:rPr>
        <w:t xml:space="preserve"> WACC a zároveň s ohledem na snahu zachovat v celém nákladovém řetězci služby elektronických komunikací stejnou míru WACC bez ohledu na sektor, z nějž se fyzická infrastruktura pro poskytnutí služby elektronických komunikací využila</w:t>
      </w:r>
      <w:r w:rsidR="00145402" w:rsidRPr="000C234A">
        <w:rPr>
          <w:rFonts w:eastAsiaTheme="minorHAnsi" w:cs="Arial"/>
          <w:color w:val="000000"/>
          <w:lang w:eastAsia="en-US"/>
        </w:rPr>
        <w:t>.</w:t>
      </w:r>
      <w:r w:rsidR="0033215C" w:rsidRPr="000C234A">
        <w:rPr>
          <w:rFonts w:eastAsiaTheme="minorHAnsi" w:cs="Arial"/>
          <w:color w:val="000000"/>
          <w:lang w:eastAsia="en-US"/>
        </w:rPr>
        <w:t xml:space="preserve"> Cílem tohoto přístupu je tedy zachovat stejnou využitelnost</w:t>
      </w:r>
      <w:r w:rsidR="00586C92" w:rsidRPr="000C234A">
        <w:rPr>
          <w:rFonts w:eastAsiaTheme="minorHAnsi" w:cs="Arial"/>
          <w:color w:val="000000"/>
          <w:lang w:eastAsia="en-US"/>
        </w:rPr>
        <w:t xml:space="preserve"> </w:t>
      </w:r>
      <w:r w:rsidR="0033215C" w:rsidRPr="000C234A">
        <w:rPr>
          <w:rFonts w:eastAsiaTheme="minorHAnsi" w:cs="Arial"/>
          <w:color w:val="000000"/>
          <w:lang w:eastAsia="en-US"/>
        </w:rPr>
        <w:t>pro fyzickou infrastrukturu ze všech sektorů, bez ohledu na konkrétní výši ziskovosti (WACC) v daném sektoru.</w:t>
      </w:r>
    </w:p>
    <w:p w14:paraId="611807EC" w14:textId="77777777" w:rsidR="00304DD6" w:rsidRPr="00975ACC" w:rsidRDefault="00A425F1" w:rsidP="00F67923">
      <w:pPr>
        <w:pStyle w:val="Vvojcen-zkladntext"/>
        <w:rPr>
          <w:rFonts w:cs="Arial"/>
        </w:rPr>
      </w:pPr>
      <w:r w:rsidRPr="00975ACC">
        <w:rPr>
          <w:rFonts w:eastAsiaTheme="minorHAnsi" w:cs="Arial"/>
          <w:color w:val="000000"/>
          <w:lang w:eastAsia="en-US"/>
        </w:rPr>
        <w:t xml:space="preserve">Přiměřená návratnost vloženého kapitálu </w:t>
      </w:r>
      <w:r w:rsidR="003A4CE0" w:rsidRPr="00975ACC">
        <w:rPr>
          <w:rFonts w:eastAsiaTheme="minorHAnsi" w:cs="Arial"/>
          <w:color w:val="000000"/>
          <w:lang w:eastAsia="en-US"/>
        </w:rPr>
        <w:t>se stanovuje</w:t>
      </w:r>
      <w:r w:rsidRPr="00975ACC">
        <w:rPr>
          <w:rFonts w:eastAsiaTheme="minorHAnsi" w:cs="Arial"/>
          <w:color w:val="000000"/>
          <w:lang w:eastAsia="en-US"/>
        </w:rPr>
        <w:t xml:space="preserve"> procent</w:t>
      </w:r>
      <w:r w:rsidR="00304DD6" w:rsidRPr="00975ACC">
        <w:rPr>
          <w:rFonts w:eastAsiaTheme="minorHAnsi" w:cs="Arial"/>
          <w:color w:val="000000"/>
          <w:lang w:eastAsia="en-US"/>
        </w:rPr>
        <w:t>em</w:t>
      </w:r>
      <w:r w:rsidRPr="00975ACC">
        <w:rPr>
          <w:rFonts w:eastAsiaTheme="minorHAnsi" w:cs="Arial"/>
          <w:color w:val="000000"/>
          <w:lang w:eastAsia="en-US"/>
        </w:rPr>
        <w:t xml:space="preserve"> návratnosti </w:t>
      </w:r>
      <w:r w:rsidR="003A4CE0" w:rsidRPr="00975ACC">
        <w:rPr>
          <w:rFonts w:eastAsiaTheme="minorHAnsi" w:cs="Arial"/>
          <w:color w:val="000000"/>
          <w:lang w:eastAsia="en-US"/>
        </w:rPr>
        <w:t>z</w:t>
      </w:r>
      <w:r w:rsidR="0033215C" w:rsidRPr="00975ACC">
        <w:rPr>
          <w:rFonts w:eastAsiaTheme="minorHAnsi" w:cs="Arial"/>
          <w:color w:val="000000"/>
          <w:lang w:eastAsia="en-US"/>
        </w:rPr>
        <w:t> </w:t>
      </w:r>
      <w:r w:rsidRPr="00975ACC">
        <w:rPr>
          <w:rFonts w:eastAsiaTheme="minorHAnsi" w:cs="Arial"/>
          <w:color w:val="000000"/>
          <w:lang w:eastAsia="en-US"/>
        </w:rPr>
        <w:t>vloženého kapitálu</w:t>
      </w:r>
      <w:r w:rsidR="00143D26" w:rsidRPr="000C234A">
        <w:rPr>
          <w:rFonts w:eastAsiaTheme="minorHAnsi" w:cs="Arial"/>
          <w:color w:val="000000"/>
          <w:lang w:eastAsia="en-US"/>
        </w:rPr>
        <w:t>, které</w:t>
      </w:r>
      <w:r w:rsidR="0019620D" w:rsidRPr="00975ACC">
        <w:rPr>
          <w:rFonts w:eastAsiaTheme="minorHAnsi" w:cs="Arial"/>
          <w:color w:val="000000"/>
          <w:lang w:eastAsia="en-US"/>
        </w:rPr>
        <w:t xml:space="preserve"> </w:t>
      </w:r>
      <w:r w:rsidR="0033215C" w:rsidRPr="00975ACC">
        <w:rPr>
          <w:rFonts w:eastAsiaTheme="minorHAnsi" w:cs="Arial"/>
          <w:color w:val="000000"/>
          <w:lang w:eastAsia="en-US"/>
        </w:rPr>
        <w:t>pro sektor elektronických komunikací aktuálně činí</w:t>
      </w:r>
      <w:r w:rsidR="003A4CE0" w:rsidRPr="00975ACC">
        <w:rPr>
          <w:rFonts w:eastAsiaTheme="minorHAnsi" w:cs="Arial"/>
          <w:color w:val="000000"/>
          <w:lang w:eastAsia="en-US"/>
        </w:rPr>
        <w:t xml:space="preserve"> 7,89 %</w:t>
      </w:r>
      <w:r w:rsidR="004113F0" w:rsidRPr="00975ACC">
        <w:rPr>
          <w:rStyle w:val="Znakapoznpodarou"/>
          <w:rFonts w:eastAsiaTheme="minorHAnsi" w:cs="Arial"/>
          <w:color w:val="000000"/>
          <w:lang w:eastAsia="en-US"/>
        </w:rPr>
        <w:footnoteReference w:id="5"/>
      </w:r>
      <w:r w:rsidR="00304DD6" w:rsidRPr="00975ACC">
        <w:rPr>
          <w:rFonts w:eastAsiaTheme="minorHAnsi" w:cs="Arial"/>
          <w:color w:val="000000"/>
          <w:lang w:eastAsia="en-US"/>
        </w:rPr>
        <w:t>.</w:t>
      </w:r>
    </w:p>
    <w:p w14:paraId="56E1C72D" w14:textId="22A8E2B3" w:rsidR="00C10619" w:rsidRPr="000C234A" w:rsidRDefault="00C10619" w:rsidP="000C234A">
      <w:pPr>
        <w:pStyle w:val="Vvojcen-zkladntext"/>
        <w:rPr>
          <w:rFonts w:eastAsiaTheme="minorHAnsi" w:cs="Arial"/>
          <w:bCs/>
          <w:color w:val="000000"/>
          <w:sz w:val="24"/>
          <w:szCs w:val="24"/>
          <w:lang w:eastAsia="en-US"/>
        </w:rPr>
      </w:pPr>
      <w:r w:rsidRPr="00975ACC">
        <w:rPr>
          <w:rFonts w:eastAsiaTheme="minorHAnsi" w:cs="Arial"/>
          <w:lang w:eastAsia="en-US"/>
        </w:rPr>
        <w:t xml:space="preserve">Pro </w:t>
      </w:r>
      <w:r w:rsidR="003A4CE0" w:rsidRPr="00975ACC">
        <w:rPr>
          <w:rFonts w:eastAsiaTheme="minorHAnsi" w:cs="Arial"/>
          <w:lang w:eastAsia="en-US"/>
        </w:rPr>
        <w:t>zjištění</w:t>
      </w:r>
      <w:r w:rsidRPr="00975ACC">
        <w:rPr>
          <w:rFonts w:eastAsiaTheme="minorHAnsi" w:cs="Arial"/>
          <w:lang w:eastAsia="en-US"/>
        </w:rPr>
        <w:t xml:space="preserve"> ročních odpisů se použije </w:t>
      </w:r>
      <w:r w:rsidR="000D1F89" w:rsidRPr="00975ACC">
        <w:rPr>
          <w:rFonts w:cs="Arial"/>
        </w:rPr>
        <w:t>standardní (jednoduchá) anuita</w:t>
      </w:r>
      <w:r w:rsidRPr="00975ACC">
        <w:rPr>
          <w:rFonts w:eastAsiaTheme="minorHAnsi" w:cs="Arial"/>
          <w:lang w:eastAsia="en-US"/>
        </w:rPr>
        <w:t xml:space="preserve"> podle vzorce:</w:t>
      </w:r>
      <w:r w:rsidR="00672632" w:rsidRPr="00975ACC" w:rsidDel="00672632">
        <w:rPr>
          <w:rFonts w:eastAsiaTheme="minorHAnsi" w:cs="Arial"/>
          <w:lang w:eastAsia="en-US"/>
        </w:rPr>
        <w:t xml:space="preserve"> </w:t>
      </w:r>
    </w:p>
    <w:p w14:paraId="2EA2E762" w14:textId="77777777" w:rsidR="00672632" w:rsidRPr="000C234A" w:rsidRDefault="001C3993" w:rsidP="000C234A">
      <w:pPr>
        <w:pBdr>
          <w:top w:val="single" w:sz="4" w:space="1" w:color="auto"/>
          <w:left w:val="single" w:sz="4" w:space="4" w:color="auto"/>
          <w:bottom w:val="single" w:sz="4" w:space="1" w:color="auto"/>
          <w:right w:val="single" w:sz="4" w:space="4" w:color="auto"/>
        </w:pBdr>
        <w:overflowPunct/>
        <w:spacing w:before="120"/>
        <w:jc w:val="center"/>
        <w:textAlignment w:val="auto"/>
        <w:rPr>
          <w:rFonts w:ascii="Arial" w:eastAsiaTheme="minorHAnsi" w:hAnsi="Arial" w:cs="Arial"/>
          <w:b/>
          <w:bCs/>
          <w:color w:val="000000"/>
          <w:sz w:val="28"/>
          <w:szCs w:val="28"/>
          <w:lang w:eastAsia="en-US"/>
        </w:rPr>
      </w:pPr>
      <m:oMathPara>
        <m:oMath>
          <m:r>
            <m:rPr>
              <m:sty m:val="bi"/>
            </m:rPr>
            <w:rPr>
              <w:rFonts w:ascii="Cambria Math" w:eastAsiaTheme="minorHAnsi" w:hAnsi="Cambria Math" w:cs="Arial"/>
              <w:color w:val="000000"/>
              <w:sz w:val="28"/>
              <w:szCs w:val="28"/>
              <w:lang w:eastAsia="en-US"/>
            </w:rPr>
            <m:t>C=</m:t>
          </m:r>
          <m:sSub>
            <m:sSubPr>
              <m:ctrlPr>
                <w:rPr>
                  <w:rFonts w:ascii="Cambria Math" w:eastAsiaTheme="minorHAnsi" w:hAnsi="Cambria Math" w:cs="Arial"/>
                  <w:b/>
                  <w:bCs/>
                  <w:i/>
                  <w:color w:val="000000"/>
                  <w:sz w:val="28"/>
                  <w:szCs w:val="28"/>
                  <w:lang w:eastAsia="en-US"/>
                </w:rPr>
              </m:ctrlPr>
            </m:sSubPr>
            <m:e>
              <m:r>
                <m:rPr>
                  <m:sty m:val="bi"/>
                </m:rPr>
                <w:rPr>
                  <w:rFonts w:ascii="Cambria Math" w:eastAsiaTheme="minorHAnsi" w:hAnsi="Cambria Math" w:cs="Arial"/>
                  <w:color w:val="000000"/>
                  <w:sz w:val="28"/>
                  <w:szCs w:val="28"/>
                  <w:lang w:eastAsia="en-US"/>
                </w:rPr>
                <m:t>I</m:t>
              </m:r>
            </m:e>
            <m:sub>
              <m:r>
                <m:rPr>
                  <m:sty m:val="bi"/>
                </m:rPr>
                <w:rPr>
                  <w:rFonts w:ascii="Cambria Math" w:eastAsiaTheme="minorHAnsi" w:hAnsi="Cambria Math" w:cs="Arial"/>
                  <w:color w:val="000000"/>
                  <w:sz w:val="28"/>
                  <w:szCs w:val="28"/>
                  <w:lang w:eastAsia="en-US"/>
                </w:rPr>
                <m:t>t=0</m:t>
              </m:r>
            </m:sub>
          </m:sSub>
          <m:f>
            <m:fPr>
              <m:ctrlPr>
                <w:rPr>
                  <w:rFonts w:ascii="Cambria Math" w:eastAsiaTheme="minorHAnsi" w:hAnsi="Cambria Math" w:cs="Arial"/>
                  <w:b/>
                  <w:bCs/>
                  <w:i/>
                  <w:color w:val="000000"/>
                  <w:sz w:val="28"/>
                  <w:szCs w:val="28"/>
                  <w:lang w:eastAsia="en-US"/>
                </w:rPr>
              </m:ctrlPr>
            </m:fPr>
            <m:num>
              <m:r>
                <m:rPr>
                  <m:sty m:val="bi"/>
                </m:rPr>
                <w:rPr>
                  <w:rFonts w:ascii="Cambria Math" w:eastAsiaTheme="minorHAnsi" w:hAnsi="Cambria Math" w:cs="Arial"/>
                  <w:color w:val="000000"/>
                  <w:sz w:val="28"/>
                  <w:szCs w:val="28"/>
                  <w:lang w:eastAsia="en-US"/>
                </w:rPr>
                <m:t>r</m:t>
              </m:r>
            </m:num>
            <m:den>
              <m:r>
                <m:rPr>
                  <m:sty m:val="bi"/>
                </m:rPr>
                <w:rPr>
                  <w:rFonts w:ascii="Cambria Math" w:eastAsiaTheme="minorHAnsi" w:hAnsi="Cambria Math" w:cs="Arial"/>
                  <w:color w:val="000000"/>
                  <w:sz w:val="28"/>
                  <w:szCs w:val="28"/>
                  <w:lang w:eastAsia="en-US"/>
                </w:rPr>
                <m:t>1-</m:t>
              </m:r>
              <m:sSup>
                <m:sSupPr>
                  <m:ctrlPr>
                    <w:rPr>
                      <w:rFonts w:ascii="Cambria Math" w:eastAsiaTheme="minorHAnsi" w:hAnsi="Cambria Math" w:cs="Arial"/>
                      <w:b/>
                      <w:bCs/>
                      <w:i/>
                      <w:color w:val="000000"/>
                      <w:sz w:val="28"/>
                      <w:szCs w:val="28"/>
                      <w:lang w:eastAsia="en-US"/>
                    </w:rPr>
                  </m:ctrlPr>
                </m:sSupPr>
                <m:e>
                  <m:r>
                    <m:rPr>
                      <m:sty m:val="bi"/>
                    </m:rPr>
                    <w:rPr>
                      <w:rFonts w:ascii="Cambria Math" w:eastAsiaTheme="minorHAnsi" w:hAnsi="Cambria Math" w:cs="Arial"/>
                      <w:color w:val="000000"/>
                      <w:sz w:val="28"/>
                      <w:szCs w:val="28"/>
                      <w:lang w:eastAsia="en-US"/>
                    </w:rPr>
                    <m:t>(1+</m:t>
                  </m:r>
                  <m:r>
                    <m:rPr>
                      <m:sty m:val="bi"/>
                    </m:rPr>
                    <w:rPr>
                      <w:rFonts w:ascii="Cambria Math" w:eastAsiaTheme="minorHAnsi" w:hAnsi="Cambria Math" w:cs="Arial"/>
                      <w:color w:val="000000"/>
                      <w:sz w:val="28"/>
                      <w:szCs w:val="28"/>
                      <w:lang w:eastAsia="en-US"/>
                    </w:rPr>
                    <m:t>r)</m:t>
                  </m:r>
                </m:e>
                <m:sup>
                  <m:r>
                    <m:rPr>
                      <m:sty m:val="bi"/>
                    </m:rPr>
                    <w:rPr>
                      <w:rFonts w:ascii="Cambria Math" w:eastAsiaTheme="minorHAnsi" w:hAnsi="Cambria Math" w:cs="Arial"/>
                      <w:color w:val="000000"/>
                      <w:sz w:val="28"/>
                      <w:szCs w:val="28"/>
                      <w:lang w:eastAsia="en-US"/>
                    </w:rPr>
                    <m:t>-n</m:t>
                  </m:r>
                </m:sup>
              </m:sSup>
            </m:den>
          </m:f>
        </m:oMath>
      </m:oMathPara>
    </w:p>
    <w:p w14:paraId="3A9372DE" w14:textId="77777777" w:rsidR="00C10619" w:rsidRPr="00975ACC" w:rsidRDefault="00C10619" w:rsidP="00C10619">
      <w:pPr>
        <w:overflowPunct/>
        <w:spacing w:after="120"/>
        <w:textAlignment w:val="auto"/>
        <w:rPr>
          <w:rFonts w:ascii="Arial" w:eastAsiaTheme="minorHAnsi" w:hAnsi="Arial" w:cs="Arial"/>
          <w:bCs/>
          <w:color w:val="000000"/>
          <w:sz w:val="22"/>
          <w:szCs w:val="22"/>
          <w:lang w:eastAsia="en-US"/>
        </w:rPr>
      </w:pPr>
      <w:r w:rsidRPr="00975ACC">
        <w:rPr>
          <w:rFonts w:ascii="Arial" w:eastAsiaTheme="minorHAnsi" w:hAnsi="Arial" w:cs="Arial"/>
          <w:bCs/>
          <w:color w:val="000000"/>
          <w:sz w:val="22"/>
          <w:szCs w:val="22"/>
          <w:lang w:eastAsia="en-US"/>
        </w:rPr>
        <w:t>kde</w:t>
      </w:r>
    </w:p>
    <w:p w14:paraId="45AA8770" w14:textId="77777777" w:rsidR="00C10619" w:rsidRPr="000C234A" w:rsidRDefault="000D1F89" w:rsidP="00986BB8">
      <w:pPr>
        <w:tabs>
          <w:tab w:val="left" w:pos="993"/>
        </w:tabs>
        <w:overflowPunct/>
        <w:textAlignment w:val="auto"/>
        <w:rPr>
          <w:rFonts w:ascii="Arial" w:eastAsiaTheme="minorHAnsi" w:hAnsi="Arial" w:cs="Arial"/>
          <w:i/>
          <w:color w:val="000000"/>
          <w:lang w:eastAsia="en-US"/>
        </w:rPr>
      </w:pPr>
      <w:r w:rsidRPr="000C234A">
        <w:rPr>
          <w:rFonts w:ascii="Arial" w:eastAsiaTheme="minorHAnsi" w:hAnsi="Arial" w:cs="Arial"/>
          <w:i/>
          <w:color w:val="000000"/>
          <w:lang w:eastAsia="en-US"/>
        </w:rPr>
        <w:t xml:space="preserve">C </w:t>
      </w:r>
      <w:r w:rsidR="00986BB8" w:rsidRPr="000C234A">
        <w:rPr>
          <w:rFonts w:ascii="Arial" w:eastAsiaTheme="minorHAnsi" w:hAnsi="Arial" w:cs="Arial"/>
          <w:i/>
          <w:color w:val="000000"/>
          <w:lang w:eastAsia="en-US"/>
        </w:rPr>
        <w:tab/>
      </w:r>
      <w:r w:rsidR="00C10619" w:rsidRPr="000C234A">
        <w:rPr>
          <w:rFonts w:ascii="Arial" w:eastAsiaTheme="minorHAnsi" w:hAnsi="Arial" w:cs="Arial"/>
          <w:i/>
          <w:color w:val="000000"/>
          <w:lang w:eastAsia="en-US"/>
        </w:rPr>
        <w:t>roční kapitálov</w:t>
      </w:r>
      <w:r w:rsidRPr="000C234A">
        <w:rPr>
          <w:rFonts w:ascii="Arial" w:eastAsiaTheme="minorHAnsi" w:hAnsi="Arial" w:cs="Arial"/>
          <w:i/>
          <w:color w:val="000000"/>
          <w:lang w:eastAsia="en-US"/>
        </w:rPr>
        <w:t>á platba</w:t>
      </w:r>
      <w:r w:rsidR="00C10619" w:rsidRPr="000C234A">
        <w:rPr>
          <w:rFonts w:ascii="Arial" w:eastAsiaTheme="minorHAnsi" w:hAnsi="Arial" w:cs="Arial"/>
          <w:i/>
          <w:color w:val="000000"/>
          <w:lang w:eastAsia="en-US"/>
        </w:rPr>
        <w:t xml:space="preserve">, </w:t>
      </w:r>
    </w:p>
    <w:p w14:paraId="3A1AB6E5" w14:textId="77777777" w:rsidR="00C10619" w:rsidRPr="000C234A" w:rsidRDefault="00C10619" w:rsidP="00986BB8">
      <w:pPr>
        <w:tabs>
          <w:tab w:val="left" w:pos="993"/>
        </w:tabs>
        <w:overflowPunct/>
        <w:textAlignment w:val="auto"/>
        <w:rPr>
          <w:rFonts w:ascii="Arial" w:eastAsiaTheme="minorHAnsi" w:hAnsi="Arial" w:cs="Arial"/>
          <w:i/>
          <w:color w:val="000000"/>
          <w:lang w:eastAsia="en-US"/>
        </w:rPr>
      </w:pPr>
      <w:r w:rsidRPr="000C234A">
        <w:rPr>
          <w:rFonts w:ascii="Arial" w:eastAsiaTheme="minorHAnsi" w:hAnsi="Arial" w:cs="Arial"/>
          <w:i/>
          <w:color w:val="000000"/>
          <w:lang w:eastAsia="en-US"/>
        </w:rPr>
        <w:t>I</w:t>
      </w:r>
      <w:r w:rsidRPr="000C234A">
        <w:rPr>
          <w:rFonts w:ascii="Arial" w:eastAsiaTheme="minorHAnsi" w:hAnsi="Arial" w:cs="Arial"/>
          <w:i/>
          <w:color w:val="000000"/>
          <w:vertAlign w:val="subscript"/>
          <w:lang w:eastAsia="en-US"/>
        </w:rPr>
        <w:t>t=0</w:t>
      </w:r>
      <w:r w:rsidRPr="000C234A">
        <w:rPr>
          <w:rFonts w:ascii="Arial" w:eastAsiaTheme="minorHAnsi" w:hAnsi="Arial" w:cs="Arial"/>
          <w:i/>
          <w:color w:val="000000"/>
          <w:lang w:eastAsia="en-US"/>
        </w:rPr>
        <w:t xml:space="preserve"> </w:t>
      </w:r>
      <w:r w:rsidR="00986BB8" w:rsidRPr="000C234A">
        <w:rPr>
          <w:rFonts w:ascii="Arial" w:eastAsiaTheme="minorHAnsi" w:hAnsi="Arial" w:cs="Arial"/>
          <w:i/>
          <w:color w:val="000000"/>
          <w:lang w:eastAsia="en-US"/>
        </w:rPr>
        <w:tab/>
      </w:r>
      <w:r w:rsidRPr="000C234A">
        <w:rPr>
          <w:rFonts w:ascii="Arial" w:eastAsiaTheme="minorHAnsi" w:hAnsi="Arial" w:cs="Arial"/>
          <w:i/>
          <w:color w:val="000000"/>
          <w:lang w:eastAsia="en-US"/>
        </w:rPr>
        <w:t xml:space="preserve">hodnota aktiva na začátku období, </w:t>
      </w:r>
    </w:p>
    <w:p w14:paraId="2DE7358D" w14:textId="77777777" w:rsidR="00C10619" w:rsidRPr="000C234A" w:rsidRDefault="00C10619" w:rsidP="00986BB8">
      <w:pPr>
        <w:tabs>
          <w:tab w:val="left" w:pos="993"/>
        </w:tabs>
        <w:overflowPunct/>
        <w:textAlignment w:val="auto"/>
        <w:rPr>
          <w:rFonts w:ascii="Arial" w:eastAsiaTheme="minorHAnsi" w:hAnsi="Arial" w:cs="Arial"/>
          <w:i/>
          <w:color w:val="000000"/>
          <w:lang w:eastAsia="en-US"/>
        </w:rPr>
      </w:pPr>
      <w:r w:rsidRPr="000C234A">
        <w:rPr>
          <w:rFonts w:ascii="Arial" w:eastAsiaTheme="minorHAnsi" w:hAnsi="Arial" w:cs="Arial"/>
          <w:i/>
          <w:color w:val="000000"/>
          <w:lang w:eastAsia="en-US"/>
        </w:rPr>
        <w:t xml:space="preserve">r </w:t>
      </w:r>
      <w:r w:rsidR="00986BB8" w:rsidRPr="000C234A">
        <w:rPr>
          <w:rFonts w:ascii="Arial" w:eastAsiaTheme="minorHAnsi" w:hAnsi="Arial" w:cs="Arial"/>
          <w:i/>
          <w:color w:val="000000"/>
          <w:lang w:eastAsia="en-US"/>
        </w:rPr>
        <w:tab/>
      </w:r>
      <w:r w:rsidRPr="000C234A">
        <w:rPr>
          <w:rFonts w:ascii="Arial" w:eastAsiaTheme="minorHAnsi" w:hAnsi="Arial" w:cs="Arial"/>
          <w:i/>
          <w:color w:val="000000"/>
          <w:lang w:eastAsia="en-US"/>
        </w:rPr>
        <w:t xml:space="preserve">cena kapitálu, </w:t>
      </w:r>
    </w:p>
    <w:p w14:paraId="19FE2B35" w14:textId="77777777" w:rsidR="00C10619" w:rsidRPr="000C234A" w:rsidRDefault="00C10619" w:rsidP="00986BB8">
      <w:pPr>
        <w:tabs>
          <w:tab w:val="left" w:pos="993"/>
        </w:tabs>
        <w:overflowPunct/>
        <w:textAlignment w:val="auto"/>
        <w:rPr>
          <w:rFonts w:ascii="Arial" w:eastAsiaTheme="minorHAnsi" w:hAnsi="Arial" w:cs="Arial"/>
          <w:i/>
          <w:color w:val="000000"/>
          <w:lang w:eastAsia="en-US"/>
        </w:rPr>
      </w:pPr>
      <w:r w:rsidRPr="000C234A">
        <w:rPr>
          <w:rFonts w:ascii="Arial" w:eastAsiaTheme="minorHAnsi" w:hAnsi="Arial" w:cs="Arial"/>
          <w:i/>
          <w:color w:val="000000"/>
          <w:lang w:eastAsia="en-US"/>
        </w:rPr>
        <w:t xml:space="preserve">n </w:t>
      </w:r>
      <w:r w:rsidR="00986BB8" w:rsidRPr="000C234A">
        <w:rPr>
          <w:rFonts w:ascii="Arial" w:eastAsiaTheme="minorHAnsi" w:hAnsi="Arial" w:cs="Arial"/>
          <w:i/>
          <w:color w:val="000000"/>
          <w:lang w:eastAsia="en-US"/>
        </w:rPr>
        <w:tab/>
      </w:r>
      <w:r w:rsidR="000D1F89" w:rsidRPr="000C234A">
        <w:rPr>
          <w:rFonts w:ascii="Arial" w:eastAsiaTheme="minorHAnsi" w:hAnsi="Arial" w:cs="Arial"/>
          <w:i/>
          <w:color w:val="000000"/>
          <w:lang w:eastAsia="en-US"/>
        </w:rPr>
        <w:t>životnost aktiva</w:t>
      </w:r>
      <w:r w:rsidRPr="000C234A">
        <w:rPr>
          <w:rFonts w:ascii="Arial" w:eastAsiaTheme="minorHAnsi" w:hAnsi="Arial" w:cs="Arial"/>
          <w:i/>
          <w:color w:val="000000"/>
          <w:lang w:eastAsia="en-US"/>
        </w:rPr>
        <w:t>.</w:t>
      </w:r>
    </w:p>
    <w:p w14:paraId="46CC4095" w14:textId="4FA0109D" w:rsidR="00A73026" w:rsidRPr="00B05191" w:rsidRDefault="0033215C" w:rsidP="00F67923">
      <w:pPr>
        <w:pStyle w:val="Vvojcen-zkladntext"/>
        <w:rPr>
          <w:rFonts w:cs="Arial"/>
          <w:color w:val="000000" w:themeColor="text1"/>
        </w:rPr>
      </w:pPr>
      <w:r w:rsidRPr="00975ACC">
        <w:rPr>
          <w:rFonts w:cs="Arial"/>
          <w:color w:val="000000" w:themeColor="text1"/>
        </w:rPr>
        <w:t>Živo</w:t>
      </w:r>
      <w:r w:rsidRPr="00CA4021">
        <w:rPr>
          <w:rFonts w:cs="Arial"/>
        </w:rPr>
        <w:t>tnost jednotlivých prvků fyzické infrastruktury by měla vycházet ze skutečné doby jejich využívání, která se však může podle jednotlivých infrastrukturních odvětví částečně lišit v závislosti na různé intenzitě jejich využívání, podmínkách provozu</w:t>
      </w:r>
      <w:r w:rsidR="00846E94" w:rsidRPr="00A533AC">
        <w:rPr>
          <w:rFonts w:cs="Arial"/>
        </w:rPr>
        <w:t xml:space="preserve"> a údržby, přírodních a </w:t>
      </w:r>
      <w:r w:rsidRPr="009B2DD6">
        <w:rPr>
          <w:rFonts w:cs="Arial"/>
        </w:rPr>
        <w:t>klimatických podmínek apod.</w:t>
      </w:r>
      <w:r w:rsidR="00846E94" w:rsidRPr="009B2DD6">
        <w:rPr>
          <w:rFonts w:cs="Arial"/>
        </w:rPr>
        <w:t xml:space="preserve"> </w:t>
      </w:r>
      <w:r w:rsidR="00AD3A22" w:rsidRPr="009B2DD6">
        <w:rPr>
          <w:rFonts w:cs="Arial"/>
        </w:rPr>
        <w:t>Stanovení</w:t>
      </w:r>
      <w:r w:rsidR="00AD3A22" w:rsidRPr="00AF28AB">
        <w:rPr>
          <w:rFonts w:cs="Arial"/>
        </w:rPr>
        <w:t xml:space="preserve"> výše ročních odpisů nebude reflektovat sazby užívané ve statutárním účetnictví, </w:t>
      </w:r>
      <w:r w:rsidR="00696E80" w:rsidRPr="000C234A">
        <w:rPr>
          <w:rFonts w:cs="Arial"/>
        </w:rPr>
        <w:t>nýbrž</w:t>
      </w:r>
      <w:r w:rsidR="00AD3A22" w:rsidRPr="00B05191">
        <w:rPr>
          <w:rFonts w:cs="Arial"/>
        </w:rPr>
        <w:t xml:space="preserve"> výpočet bude vycházet ze skutečné délky ekonomické životnosti aktiva. </w:t>
      </w:r>
      <w:r w:rsidR="00846E94" w:rsidRPr="00B05191">
        <w:rPr>
          <w:rFonts w:cs="Arial"/>
        </w:rPr>
        <w:t>Povinn</w:t>
      </w:r>
      <w:r w:rsidR="00846E94" w:rsidRPr="00975ACC">
        <w:rPr>
          <w:rFonts w:cs="Arial"/>
        </w:rPr>
        <w:t>ý subjekt tedy pro vyčíslení ceny využije skutečnou průměrnou životnost zpřístupňovaného typu infrastruktury.</w:t>
      </w:r>
      <w:r w:rsidR="00BF3F44" w:rsidRPr="00B05191">
        <w:rPr>
          <w:rFonts w:cs="Arial"/>
        </w:rPr>
        <w:t xml:space="preserve"> </w:t>
      </w:r>
    </w:p>
    <w:p w14:paraId="24D6740A" w14:textId="77777777" w:rsidR="00BC3F65" w:rsidRPr="00CA4021" w:rsidRDefault="00097988" w:rsidP="00F67923">
      <w:pPr>
        <w:pStyle w:val="Vvojcen-zkladntext"/>
        <w:rPr>
          <w:rFonts w:cs="Arial"/>
        </w:rPr>
      </w:pPr>
      <w:r w:rsidRPr="00B05191">
        <w:rPr>
          <w:rFonts w:cs="Arial"/>
        </w:rPr>
        <w:t>Pro jednotliv</w:t>
      </w:r>
      <w:r w:rsidR="00AB1A34" w:rsidRPr="00B05191">
        <w:rPr>
          <w:rFonts w:cs="Arial"/>
        </w:rPr>
        <w:t>é</w:t>
      </w:r>
      <w:r w:rsidR="003A4CE0" w:rsidRPr="00B300B4">
        <w:rPr>
          <w:rFonts w:cs="Arial"/>
        </w:rPr>
        <w:t xml:space="preserve"> </w:t>
      </w:r>
      <w:r w:rsidR="00DC42CE" w:rsidRPr="00B300B4">
        <w:rPr>
          <w:rFonts w:cs="Arial"/>
        </w:rPr>
        <w:t xml:space="preserve">prvky z </w:t>
      </w:r>
      <w:r w:rsidR="003A4CE0" w:rsidRPr="00B300B4">
        <w:rPr>
          <w:rFonts w:cs="Arial"/>
        </w:rPr>
        <w:t>kategori</w:t>
      </w:r>
      <w:r w:rsidR="00AB1A34" w:rsidRPr="00B300B4">
        <w:rPr>
          <w:rFonts w:cs="Arial"/>
        </w:rPr>
        <w:t>e</w:t>
      </w:r>
      <w:r w:rsidRPr="00CA4021">
        <w:rPr>
          <w:rFonts w:cs="Arial"/>
        </w:rPr>
        <w:t xml:space="preserve"> fyzické infrastruktury se </w:t>
      </w:r>
      <w:r w:rsidR="00AA2082" w:rsidRPr="00CA4021">
        <w:rPr>
          <w:rFonts w:cs="Arial"/>
        </w:rPr>
        <w:t xml:space="preserve">dále </w:t>
      </w:r>
      <w:r w:rsidRPr="00CA4021">
        <w:rPr>
          <w:rFonts w:cs="Arial"/>
        </w:rPr>
        <w:t xml:space="preserve">stanoví tyto konkrétní </w:t>
      </w:r>
      <w:r w:rsidR="009406D8" w:rsidRPr="00CA4021">
        <w:rPr>
          <w:rFonts w:cs="Arial"/>
        </w:rPr>
        <w:t xml:space="preserve">specifické </w:t>
      </w:r>
      <w:r w:rsidR="003A4CE0" w:rsidRPr="00CA4021">
        <w:rPr>
          <w:rFonts w:cs="Arial"/>
        </w:rPr>
        <w:t>podmínky</w:t>
      </w:r>
      <w:r w:rsidRPr="00CA4021">
        <w:rPr>
          <w:rFonts w:cs="Arial"/>
        </w:rPr>
        <w:t>:</w:t>
      </w:r>
    </w:p>
    <w:p w14:paraId="522E6A4A" w14:textId="77777777" w:rsidR="00097988" w:rsidRPr="00975ACC" w:rsidRDefault="00097988" w:rsidP="00F67923">
      <w:pPr>
        <w:pStyle w:val="Vvojcen-nadpis3"/>
      </w:pPr>
      <w:bookmarkStart w:id="26" w:name="_Toc496446431"/>
      <w:bookmarkStart w:id="27" w:name="_Toc496518785"/>
      <w:r w:rsidRPr="00975ACC">
        <w:t>Potrubí</w:t>
      </w:r>
      <w:bookmarkEnd w:id="26"/>
      <w:bookmarkEnd w:id="27"/>
    </w:p>
    <w:p w14:paraId="59B07DBC" w14:textId="77777777" w:rsidR="00097988" w:rsidRPr="001C3993" w:rsidRDefault="00317C8A" w:rsidP="00F67923">
      <w:pPr>
        <w:pStyle w:val="Vvojcen-zkladntext"/>
        <w:rPr>
          <w:rFonts w:cs="Arial"/>
        </w:rPr>
      </w:pPr>
      <w:r w:rsidRPr="00CA4021">
        <w:rPr>
          <w:rFonts w:cs="Arial"/>
        </w:rPr>
        <w:t>T</w:t>
      </w:r>
      <w:r w:rsidR="00097988" w:rsidRPr="00CA4021">
        <w:rPr>
          <w:rFonts w:cs="Arial"/>
        </w:rPr>
        <w:t xml:space="preserve">ypicky </w:t>
      </w:r>
      <w:r w:rsidRPr="00CA4021">
        <w:rPr>
          <w:rFonts w:cs="Arial"/>
        </w:rPr>
        <w:t xml:space="preserve">se jedná </w:t>
      </w:r>
      <w:r w:rsidR="00097988" w:rsidRPr="00CA4021">
        <w:rPr>
          <w:rFonts w:cs="Arial"/>
        </w:rPr>
        <w:t>o HDPE ochranné</w:t>
      </w:r>
      <w:r w:rsidRPr="00CA4021">
        <w:rPr>
          <w:rFonts w:cs="Arial"/>
        </w:rPr>
        <w:t xml:space="preserve"> trubky, nejčastěji o průměru 40</w:t>
      </w:r>
      <w:r w:rsidR="001809C5" w:rsidRPr="00CA4021">
        <w:rPr>
          <w:rFonts w:cs="Arial"/>
        </w:rPr>
        <w:t>/33</w:t>
      </w:r>
      <w:r w:rsidRPr="00CA4021">
        <w:rPr>
          <w:rFonts w:cs="Arial"/>
        </w:rPr>
        <w:t xml:space="preserve"> mm,</w:t>
      </w:r>
      <w:r w:rsidR="00097988" w:rsidRPr="00CA4021">
        <w:rPr>
          <w:rFonts w:cs="Arial"/>
        </w:rPr>
        <w:t xml:space="preserve"> </w:t>
      </w:r>
      <w:r w:rsidRPr="00CA4021">
        <w:rPr>
          <w:rFonts w:cs="Arial"/>
        </w:rPr>
        <w:t>pou</w:t>
      </w:r>
      <w:r w:rsidR="00097988" w:rsidRPr="00CA4021">
        <w:rPr>
          <w:rFonts w:cs="Arial"/>
        </w:rPr>
        <w:t>žívané</w:t>
      </w:r>
      <w:r w:rsidRPr="00CA4021">
        <w:rPr>
          <w:rFonts w:cs="Arial"/>
        </w:rPr>
        <w:t xml:space="preserve"> pro uložení kabelů s optickými vlákny, nicméně při použití jiného typu potrubí se způsob výpočtu aplikuje </w:t>
      </w:r>
      <w:r w:rsidR="00C10619" w:rsidRPr="00A533AC">
        <w:rPr>
          <w:rFonts w:cs="Arial"/>
        </w:rPr>
        <w:t>stej</w:t>
      </w:r>
      <w:r w:rsidRPr="00A533AC">
        <w:rPr>
          <w:rFonts w:cs="Arial"/>
        </w:rPr>
        <w:t xml:space="preserve">ným způsobem. </w:t>
      </w:r>
      <w:r w:rsidR="00AA2753" w:rsidRPr="009B2DD6">
        <w:rPr>
          <w:rFonts w:cs="Arial"/>
        </w:rPr>
        <w:t>Pronájem tohoto prvku fyzické infrastruktury může být realizován buď jako plný pro</w:t>
      </w:r>
      <w:r w:rsidR="00AA2753" w:rsidRPr="00AF28AB">
        <w:rPr>
          <w:rFonts w:cs="Arial"/>
        </w:rPr>
        <w:t>fil HDPE trubky nebo jako její dílčí kapacita ve formě vložené trubičky. V tomto případě se může jedn</w:t>
      </w:r>
      <w:r w:rsidR="00AA2753" w:rsidRPr="00BF6EEA">
        <w:rPr>
          <w:rFonts w:cs="Arial"/>
        </w:rPr>
        <w:t xml:space="preserve">at např. o trubičky o průměru 10/8 mm, které jsou zpravidla vloženy do ochranné trubky HDPE ve svazcích nejčastěji v počtu 5 kusů. </w:t>
      </w:r>
    </w:p>
    <w:p w14:paraId="62D481DE" w14:textId="77777777" w:rsidR="00317C8A" w:rsidRPr="000C234A" w:rsidRDefault="00317C8A" w:rsidP="00F67923">
      <w:pPr>
        <w:pStyle w:val="Vvojcen-zkladntext"/>
        <w:rPr>
          <w:rFonts w:cs="Arial"/>
          <w:b/>
          <w:sz w:val="28"/>
          <w:szCs w:val="28"/>
          <w:vertAlign w:val="superscript"/>
        </w:rPr>
      </w:pPr>
      <w:r w:rsidRPr="001C3993">
        <w:rPr>
          <w:rFonts w:cs="Arial"/>
        </w:rPr>
        <w:t xml:space="preserve">Velkoobchodní cena </w:t>
      </w:r>
      <w:r w:rsidR="00A34FE9" w:rsidRPr="001C3993">
        <w:rPr>
          <w:rFonts w:cs="Arial"/>
        </w:rPr>
        <w:t xml:space="preserve">měsíčního pronájmu </w:t>
      </w:r>
      <w:r w:rsidRPr="001C3993">
        <w:rPr>
          <w:rFonts w:cs="Arial"/>
        </w:rPr>
        <w:t>tohoto prvku fyzické infrastruktury se skládá z </w:t>
      </w:r>
      <w:r w:rsidR="00CE4418" w:rsidRPr="00B61838">
        <w:rPr>
          <w:rFonts w:cs="Arial"/>
        </w:rPr>
        <w:t>nákladů</w:t>
      </w:r>
      <w:r w:rsidRPr="00B61838">
        <w:rPr>
          <w:rFonts w:cs="Arial"/>
        </w:rPr>
        <w:t xml:space="preserve"> </w:t>
      </w:r>
      <w:r w:rsidR="00AA2753" w:rsidRPr="00A74E17">
        <w:rPr>
          <w:rFonts w:cs="Arial"/>
        </w:rPr>
        <w:t xml:space="preserve">na pořízení </w:t>
      </w:r>
      <w:r w:rsidRPr="00A74E17">
        <w:rPr>
          <w:rFonts w:cs="Arial"/>
        </w:rPr>
        <w:t>vlastníh</w:t>
      </w:r>
      <w:r w:rsidRPr="00A9311F">
        <w:rPr>
          <w:rFonts w:cs="Arial"/>
        </w:rPr>
        <w:t>o potrubí</w:t>
      </w:r>
      <w:r w:rsidR="007821F7" w:rsidRPr="00A9311F">
        <w:rPr>
          <w:rFonts w:cs="Arial"/>
        </w:rPr>
        <w:t xml:space="preserve"> (</w:t>
      </w:r>
      <w:r w:rsidR="00AA2753" w:rsidRPr="00A9311F">
        <w:rPr>
          <w:rFonts w:cs="Arial"/>
        </w:rPr>
        <w:t>samostatn</w:t>
      </w:r>
      <w:r w:rsidR="007821F7" w:rsidRPr="00A9311F">
        <w:rPr>
          <w:rFonts w:cs="Arial"/>
        </w:rPr>
        <w:t>ého</w:t>
      </w:r>
      <w:r w:rsidR="00AA2753" w:rsidRPr="00565ED1">
        <w:rPr>
          <w:rFonts w:cs="Arial"/>
        </w:rPr>
        <w:t xml:space="preserve"> nebo </w:t>
      </w:r>
      <w:r w:rsidR="008E009A" w:rsidRPr="00565ED1">
        <w:rPr>
          <w:rFonts w:cs="Arial"/>
        </w:rPr>
        <w:t>pouze</w:t>
      </w:r>
      <w:r w:rsidR="00AA2753" w:rsidRPr="00712B46">
        <w:rPr>
          <w:rFonts w:cs="Arial"/>
        </w:rPr>
        <w:t xml:space="preserve"> mikrot</w:t>
      </w:r>
      <w:r w:rsidR="007821F7" w:rsidRPr="00712B46">
        <w:rPr>
          <w:rFonts w:cs="Arial"/>
        </w:rPr>
        <w:t>r</w:t>
      </w:r>
      <w:r w:rsidR="00AA2753" w:rsidRPr="00E73775">
        <w:rPr>
          <w:rFonts w:cs="Arial"/>
        </w:rPr>
        <w:t>ubičky</w:t>
      </w:r>
      <w:r w:rsidR="00AF418F" w:rsidRPr="00E73775">
        <w:rPr>
          <w:rFonts w:cs="Arial"/>
        </w:rPr>
        <w:t xml:space="preserve"> s podílem nákladů na HDPE trubku</w:t>
      </w:r>
      <w:r w:rsidR="007821F7" w:rsidRPr="001313C9">
        <w:rPr>
          <w:rFonts w:cs="Arial"/>
        </w:rPr>
        <w:t>)</w:t>
      </w:r>
      <w:r w:rsidR="00AA2753" w:rsidRPr="001313C9">
        <w:rPr>
          <w:rFonts w:cs="Arial"/>
        </w:rPr>
        <w:t xml:space="preserve"> </w:t>
      </w:r>
      <w:r w:rsidRPr="001313C9">
        <w:rPr>
          <w:rFonts w:cs="Arial"/>
        </w:rPr>
        <w:t xml:space="preserve">a </w:t>
      </w:r>
      <w:r w:rsidR="00CE4418" w:rsidRPr="000C234A">
        <w:rPr>
          <w:rFonts w:cs="Arial"/>
        </w:rPr>
        <w:t>nákladů na</w:t>
      </w:r>
      <w:r w:rsidRPr="000C234A">
        <w:rPr>
          <w:rFonts w:cs="Arial"/>
        </w:rPr>
        <w:t xml:space="preserve"> </w:t>
      </w:r>
      <w:r w:rsidR="00931588" w:rsidRPr="000C234A">
        <w:rPr>
          <w:rFonts w:cs="Arial"/>
        </w:rPr>
        <w:t>montáž (spo</w:t>
      </w:r>
      <w:r w:rsidR="007821F7" w:rsidRPr="000C234A">
        <w:rPr>
          <w:rFonts w:cs="Arial"/>
        </w:rPr>
        <w:t>jkování, tlakové zkoušky apod.)</w:t>
      </w:r>
      <w:r w:rsidR="00C03F96" w:rsidRPr="000C234A">
        <w:rPr>
          <w:rFonts w:cs="Arial"/>
        </w:rPr>
        <w:t xml:space="preserve"> včetně uložení do výkopu</w:t>
      </w:r>
      <w:r w:rsidR="007821F7" w:rsidRPr="000C234A">
        <w:rPr>
          <w:rFonts w:cs="Arial"/>
        </w:rPr>
        <w:t>.</w:t>
      </w:r>
      <w:r w:rsidRPr="000C234A">
        <w:rPr>
          <w:rFonts w:cs="Arial"/>
        </w:rPr>
        <w:t xml:space="preserve"> </w:t>
      </w:r>
      <w:r w:rsidR="00C03F96" w:rsidRPr="000C234A">
        <w:rPr>
          <w:rFonts w:cs="Arial"/>
        </w:rPr>
        <w:t>V případě jiného způsobu uložení bude kalkulace modifikována.</w:t>
      </w:r>
    </w:p>
    <w:p w14:paraId="0D87030F" w14:textId="77777777" w:rsidR="00A34FE9" w:rsidRPr="000C234A" w:rsidRDefault="009B7D22" w:rsidP="00F67923">
      <w:pPr>
        <w:pStyle w:val="Vvojcen-zkladntext"/>
        <w:rPr>
          <w:rFonts w:cs="Arial"/>
        </w:rPr>
      </w:pPr>
      <w:r w:rsidRPr="000C234A">
        <w:rPr>
          <w:rFonts w:cs="Arial"/>
        </w:rPr>
        <w:t>Pořizovací n</w:t>
      </w:r>
      <w:r w:rsidR="00850A9E" w:rsidRPr="000C234A">
        <w:rPr>
          <w:rFonts w:cs="Arial"/>
        </w:rPr>
        <w:t>áklady</w:t>
      </w:r>
      <w:r w:rsidR="0089047E" w:rsidRPr="000C234A">
        <w:rPr>
          <w:rFonts w:cs="Arial"/>
        </w:rPr>
        <w:t xml:space="preserve"> </w:t>
      </w:r>
      <w:r w:rsidR="00850A9E" w:rsidRPr="000C234A">
        <w:rPr>
          <w:rFonts w:cs="Arial"/>
        </w:rPr>
        <w:t>n</w:t>
      </w:r>
      <w:r w:rsidR="0089047E" w:rsidRPr="000C234A">
        <w:rPr>
          <w:rFonts w:cs="Arial"/>
        </w:rPr>
        <w:t xml:space="preserve">a </w:t>
      </w:r>
      <w:r w:rsidRPr="000C234A">
        <w:rPr>
          <w:rFonts w:cs="Arial"/>
        </w:rPr>
        <w:t>1 metr HDPE trubky</w:t>
      </w:r>
      <w:r w:rsidR="00DF4C17" w:rsidRPr="000C234A">
        <w:rPr>
          <w:rFonts w:cs="Arial"/>
        </w:rPr>
        <w:t>:</w:t>
      </w:r>
    </w:p>
    <w:p w14:paraId="0F8D0F06" w14:textId="77777777" w:rsidR="005449E5" w:rsidRPr="000C234A" w:rsidRDefault="001C3993" w:rsidP="000C234A">
      <w:pPr>
        <w:pStyle w:val="Vvojcen-zkladntext"/>
        <w:pBdr>
          <w:top w:val="single" w:sz="4" w:space="1" w:color="auto"/>
          <w:left w:val="single" w:sz="4" w:space="4" w:color="auto"/>
          <w:bottom w:val="single" w:sz="4" w:space="1" w:color="auto"/>
          <w:right w:val="single" w:sz="4" w:space="4" w:color="auto"/>
        </w:pBdr>
        <w:rPr>
          <w:rFonts w:cs="Arial"/>
          <w:b/>
          <w:sz w:val="24"/>
          <w:szCs w:val="24"/>
        </w:rPr>
      </w:pPr>
      <m:oMathPara>
        <m:oMath>
          <m:r>
            <m:rPr>
              <m:sty m:val="bi"/>
            </m:rPr>
            <w:rPr>
              <w:rFonts w:ascii="Cambria Math" w:hAnsi="Cambria Math" w:cs="Arial"/>
              <w:sz w:val="24"/>
              <w:szCs w:val="24"/>
            </w:rPr>
            <m:t>M</m:t>
          </m:r>
          <m:r>
            <m:rPr>
              <m:sty m:val="bi"/>
            </m:rPr>
            <w:rPr>
              <w:rFonts w:ascii="Cambria Math" w:hAnsi="Cambria Math" w:cs="Arial" w:hint="eastAsia"/>
              <w:sz w:val="24"/>
              <w:szCs w:val="24"/>
            </w:rPr>
            <m:t>ě</m:t>
          </m:r>
          <m:r>
            <m:rPr>
              <m:sty m:val="bi"/>
            </m:rPr>
            <w:rPr>
              <w:rFonts w:ascii="Cambria Math" w:hAnsi="Cambria Math" w:cs="Arial"/>
              <w:sz w:val="24"/>
              <w:szCs w:val="24"/>
            </w:rPr>
            <m:t>s</m:t>
          </m:r>
          <m:r>
            <m:rPr>
              <m:sty m:val="bi"/>
            </m:rPr>
            <w:rPr>
              <w:rFonts w:ascii="Cambria Math" w:hAnsi="Cambria Math" w:cs="Arial" w:hint="eastAsia"/>
              <w:sz w:val="24"/>
              <w:szCs w:val="24"/>
            </w:rPr>
            <m:t>íč</m:t>
          </m:r>
          <m:r>
            <m:rPr>
              <m:sty m:val="bi"/>
            </m:rPr>
            <w:rPr>
              <w:rFonts w:ascii="Cambria Math" w:hAnsi="Cambria Math" w:cs="Arial"/>
              <w:sz w:val="24"/>
              <w:szCs w:val="24"/>
            </w:rPr>
            <m:t>n</m:t>
          </m:r>
          <m:r>
            <m:rPr>
              <m:sty m:val="bi"/>
            </m:rPr>
            <w:rPr>
              <w:rFonts w:ascii="Cambria Math" w:hAnsi="Cambria Math" w:cs="Arial" w:hint="eastAsia"/>
              <w:sz w:val="24"/>
              <w:szCs w:val="24"/>
            </w:rPr>
            <m:t>í</m:t>
          </m:r>
          <m:r>
            <m:rPr>
              <m:sty m:val="bi"/>
            </m:rPr>
            <w:rPr>
              <w:rFonts w:ascii="Cambria Math" w:hAnsi="Cambria Math" w:cs="Arial"/>
              <w:sz w:val="24"/>
              <w:szCs w:val="24"/>
            </w:rPr>
            <m:t xml:space="preserve"> pron</m:t>
          </m:r>
          <m:r>
            <m:rPr>
              <m:sty m:val="bi"/>
            </m:rPr>
            <w:rPr>
              <w:rFonts w:ascii="Cambria Math" w:hAnsi="Cambria Math" w:cs="Arial" w:hint="eastAsia"/>
              <w:sz w:val="24"/>
              <w:szCs w:val="24"/>
            </w:rPr>
            <m:t>á</m:t>
          </m:r>
          <m:r>
            <m:rPr>
              <m:sty m:val="bi"/>
            </m:rPr>
            <w:rPr>
              <w:rFonts w:ascii="Cambria Math" w:hAnsi="Cambria Math" w:cs="Arial"/>
              <w:sz w:val="24"/>
              <w:szCs w:val="24"/>
            </w:rPr>
            <m:t>jem HDPE trubky=</m:t>
          </m:r>
          <m:f>
            <m:fPr>
              <m:ctrlPr>
                <w:rPr>
                  <w:rFonts w:ascii="Cambria Math" w:hAnsi="Cambria Math" w:cs="Arial"/>
                  <w:b/>
                  <w:i/>
                  <w:sz w:val="24"/>
                  <w:szCs w:val="24"/>
                </w:rPr>
              </m:ctrlPr>
            </m:fPr>
            <m:num>
              <m:r>
                <m:rPr>
                  <m:sty m:val="bi"/>
                </m:rPr>
                <w:rPr>
                  <w:rFonts w:ascii="Cambria Math" w:hAnsi="Cambria Math" w:cs="Arial"/>
                  <w:sz w:val="24"/>
                  <w:szCs w:val="24"/>
                </w:rPr>
                <m:t>C</m:t>
              </m:r>
            </m:num>
            <m:den>
              <m:r>
                <m:rPr>
                  <m:sty m:val="bi"/>
                </m:rPr>
                <w:rPr>
                  <w:rFonts w:ascii="Cambria Math" w:hAnsi="Cambria Math" w:cs="Arial"/>
                  <w:sz w:val="24"/>
                  <w:szCs w:val="24"/>
                </w:rPr>
                <m:t>12</m:t>
              </m:r>
            </m:den>
          </m:f>
          <m:r>
            <m:rPr>
              <m:sty m:val="bi"/>
            </m:rPr>
            <w:rPr>
              <w:rFonts w:ascii="Cambria Math" w:hAnsi="Cambria Math" w:cs="Arial" w:hint="eastAsia"/>
              <w:sz w:val="24"/>
              <w:szCs w:val="24"/>
            </w:rPr>
            <m:t>×</m:t>
          </m:r>
          <m:r>
            <m:rPr>
              <m:sty m:val="bi"/>
            </m:rPr>
            <w:rPr>
              <w:rFonts w:ascii="Cambria Math" w:hAnsi="Cambria Math" w:cs="Arial"/>
              <w:sz w:val="24"/>
              <w:szCs w:val="24"/>
            </w:rPr>
            <m:t>Koeficient sd</m:t>
          </m:r>
          <m:r>
            <m:rPr>
              <m:sty m:val="bi"/>
            </m:rPr>
            <w:rPr>
              <w:rFonts w:ascii="Cambria Math" w:hAnsi="Cambria Math" w:cs="Arial" w:hint="eastAsia"/>
              <w:sz w:val="24"/>
              <w:szCs w:val="24"/>
            </w:rPr>
            <m:t>í</m:t>
          </m:r>
          <m:r>
            <m:rPr>
              <m:sty m:val="bi"/>
            </m:rPr>
            <w:rPr>
              <w:rFonts w:ascii="Cambria Math" w:hAnsi="Cambria Math" w:cs="Arial"/>
              <w:sz w:val="24"/>
              <w:szCs w:val="24"/>
            </w:rPr>
            <m:t>len</m:t>
          </m:r>
          <m:r>
            <m:rPr>
              <m:sty m:val="bi"/>
            </m:rPr>
            <w:rPr>
              <w:rFonts w:ascii="Cambria Math" w:hAnsi="Cambria Math" w:cs="Arial" w:hint="eastAsia"/>
              <w:sz w:val="24"/>
              <w:szCs w:val="24"/>
            </w:rPr>
            <m:t>í</m:t>
          </m:r>
        </m:oMath>
      </m:oMathPara>
    </w:p>
    <w:p w14:paraId="318611FA" w14:textId="77777777" w:rsidR="005449E5" w:rsidRPr="00B05191" w:rsidRDefault="005449E5" w:rsidP="00BF6EEA">
      <w:pPr>
        <w:pStyle w:val="Vvojcen-zkladntext"/>
        <w:ind w:firstLine="0"/>
        <w:rPr>
          <w:rFonts w:cs="Arial"/>
        </w:rPr>
      </w:pPr>
      <w:r w:rsidRPr="00B05191">
        <w:rPr>
          <w:rFonts w:cs="Arial"/>
        </w:rPr>
        <w:lastRenderedPageBreak/>
        <w:t>kde</w:t>
      </w:r>
    </w:p>
    <w:p w14:paraId="7F6C7184" w14:textId="77777777" w:rsidR="005449E5" w:rsidRPr="000C234A" w:rsidRDefault="005449E5" w:rsidP="005449E5">
      <w:pPr>
        <w:tabs>
          <w:tab w:val="left" w:pos="2127"/>
        </w:tabs>
        <w:overflowPunct/>
        <w:textAlignment w:val="auto"/>
        <w:rPr>
          <w:rFonts w:ascii="Arial" w:eastAsiaTheme="minorHAnsi" w:hAnsi="Arial" w:cs="Arial"/>
          <w:i/>
          <w:color w:val="000000"/>
          <w:lang w:eastAsia="en-US"/>
        </w:rPr>
      </w:pPr>
      <w:r w:rsidRPr="000C234A">
        <w:rPr>
          <w:rFonts w:ascii="Arial" w:eastAsiaTheme="minorHAnsi" w:hAnsi="Arial" w:cs="Arial"/>
          <w:i/>
          <w:color w:val="000000"/>
          <w:lang w:eastAsia="en-US"/>
        </w:rPr>
        <w:t xml:space="preserve">C </w:t>
      </w:r>
      <w:r w:rsidRPr="000C234A">
        <w:rPr>
          <w:rFonts w:ascii="Arial" w:eastAsiaTheme="minorHAnsi" w:hAnsi="Arial" w:cs="Arial"/>
          <w:i/>
          <w:color w:val="000000"/>
          <w:lang w:eastAsia="en-US"/>
        </w:rPr>
        <w:tab/>
        <w:t xml:space="preserve">roční kapitálová platba za 1 metr HDPE trubky v Kč, </w:t>
      </w:r>
    </w:p>
    <w:p w14:paraId="7E4BE304" w14:textId="77777777" w:rsidR="00170F51" w:rsidRPr="001C3993" w:rsidRDefault="005449E5" w:rsidP="00BF6EEA">
      <w:pPr>
        <w:tabs>
          <w:tab w:val="left" w:pos="2127"/>
        </w:tabs>
        <w:overflowPunct/>
        <w:textAlignment w:val="auto"/>
        <w:rPr>
          <w:rFonts w:cs="Arial"/>
        </w:rPr>
      </w:pPr>
      <w:r w:rsidRPr="000C234A">
        <w:rPr>
          <w:rFonts w:ascii="Arial" w:eastAsiaTheme="minorHAnsi" w:hAnsi="Arial" w:cs="Arial"/>
          <w:i/>
          <w:color w:val="000000"/>
          <w:lang w:eastAsia="en-US"/>
        </w:rPr>
        <w:t xml:space="preserve">Koeficient sdílení </w:t>
      </w:r>
      <w:r w:rsidRPr="000C234A">
        <w:rPr>
          <w:rFonts w:ascii="Arial" w:eastAsiaTheme="minorHAnsi" w:hAnsi="Arial" w:cs="Arial"/>
          <w:i/>
          <w:color w:val="000000"/>
          <w:lang w:eastAsia="en-US"/>
        </w:rPr>
        <w:tab/>
        <w:t xml:space="preserve">využití prvku oprávněnou osobou v %. </w:t>
      </w:r>
    </w:p>
    <w:p w14:paraId="4050F947" w14:textId="77777777" w:rsidR="007821F7" w:rsidRPr="00B05191" w:rsidRDefault="007821F7" w:rsidP="00F67923">
      <w:pPr>
        <w:pStyle w:val="Vvojcen-zkladntext"/>
        <w:rPr>
          <w:rFonts w:cs="Arial"/>
        </w:rPr>
      </w:pPr>
      <w:r w:rsidRPr="00B05191">
        <w:rPr>
          <w:rFonts w:cs="Arial"/>
        </w:rPr>
        <w:t>Pořizovací náklady na 1 metr mikrotrubičky umístěné v HDPE:</w:t>
      </w:r>
    </w:p>
    <w:p w14:paraId="7D77F720" w14:textId="77777777" w:rsidR="00856EDA" w:rsidRPr="000C234A" w:rsidRDefault="001C3993" w:rsidP="000C234A">
      <w:pPr>
        <w:pStyle w:val="Vvojcen-zkladntext"/>
        <w:pBdr>
          <w:top w:val="single" w:sz="4" w:space="1" w:color="auto"/>
          <w:left w:val="single" w:sz="4" w:space="4" w:color="auto"/>
          <w:bottom w:val="single" w:sz="4" w:space="1" w:color="auto"/>
          <w:right w:val="single" w:sz="4" w:space="4" w:color="auto"/>
        </w:pBdr>
        <w:rPr>
          <w:rFonts w:cs="Arial"/>
          <w:b/>
          <w:sz w:val="24"/>
          <w:szCs w:val="24"/>
        </w:rPr>
      </w:pPr>
      <m:oMathPara>
        <m:oMath>
          <m:r>
            <m:rPr>
              <m:sty m:val="bi"/>
            </m:rPr>
            <w:rPr>
              <w:rFonts w:ascii="Cambria Math" w:hAnsi="Cambria Math" w:cs="Arial"/>
              <w:sz w:val="24"/>
              <w:szCs w:val="24"/>
            </w:rPr>
            <m:t>M</m:t>
          </m:r>
          <m:r>
            <m:rPr>
              <m:sty m:val="bi"/>
            </m:rPr>
            <w:rPr>
              <w:rFonts w:ascii="Cambria Math" w:hAnsi="Cambria Math" w:cs="Arial" w:hint="eastAsia"/>
              <w:sz w:val="24"/>
              <w:szCs w:val="24"/>
            </w:rPr>
            <m:t>ě</m:t>
          </m:r>
          <m:r>
            <m:rPr>
              <m:sty m:val="bi"/>
            </m:rPr>
            <w:rPr>
              <w:rFonts w:ascii="Cambria Math" w:hAnsi="Cambria Math" w:cs="Arial"/>
              <w:sz w:val="24"/>
              <w:szCs w:val="24"/>
            </w:rPr>
            <m:t>s</m:t>
          </m:r>
          <m:r>
            <m:rPr>
              <m:sty m:val="bi"/>
            </m:rPr>
            <w:rPr>
              <w:rFonts w:ascii="Cambria Math" w:hAnsi="Cambria Math" w:cs="Arial" w:hint="eastAsia"/>
              <w:sz w:val="24"/>
              <w:szCs w:val="24"/>
            </w:rPr>
            <m:t>íč</m:t>
          </m:r>
          <m:r>
            <m:rPr>
              <m:sty m:val="bi"/>
            </m:rPr>
            <w:rPr>
              <w:rFonts w:ascii="Cambria Math" w:hAnsi="Cambria Math" w:cs="Arial"/>
              <w:sz w:val="24"/>
              <w:szCs w:val="24"/>
            </w:rPr>
            <m:t>n</m:t>
          </m:r>
          <m:r>
            <m:rPr>
              <m:sty m:val="bi"/>
            </m:rPr>
            <w:rPr>
              <w:rFonts w:ascii="Cambria Math" w:hAnsi="Cambria Math" w:cs="Arial" w:hint="eastAsia"/>
              <w:sz w:val="24"/>
              <w:szCs w:val="24"/>
            </w:rPr>
            <m:t>í</m:t>
          </m:r>
          <m:r>
            <m:rPr>
              <m:sty m:val="bi"/>
            </m:rPr>
            <w:rPr>
              <w:rFonts w:ascii="Cambria Math" w:hAnsi="Cambria Math" w:cs="Arial"/>
              <w:sz w:val="24"/>
              <w:szCs w:val="24"/>
            </w:rPr>
            <m:t xml:space="preserve"> pron</m:t>
          </m:r>
          <m:r>
            <m:rPr>
              <m:sty m:val="bi"/>
            </m:rPr>
            <w:rPr>
              <w:rFonts w:ascii="Cambria Math" w:hAnsi="Cambria Math" w:cs="Arial" w:hint="eastAsia"/>
              <w:sz w:val="24"/>
              <w:szCs w:val="24"/>
            </w:rPr>
            <m:t>á</m:t>
          </m:r>
          <m:r>
            <m:rPr>
              <m:sty m:val="bi"/>
            </m:rPr>
            <w:rPr>
              <w:rFonts w:ascii="Cambria Math" w:hAnsi="Cambria Math" w:cs="Arial"/>
              <w:sz w:val="24"/>
              <w:szCs w:val="24"/>
            </w:rPr>
            <m:t>jem mikrotrubičky=</m:t>
          </m:r>
          <m:f>
            <m:fPr>
              <m:ctrlPr>
                <w:rPr>
                  <w:rFonts w:ascii="Cambria Math" w:hAnsi="Cambria Math" w:cs="Arial"/>
                  <w:b/>
                  <w:i/>
                  <w:sz w:val="24"/>
                  <w:szCs w:val="24"/>
                </w:rPr>
              </m:ctrlPr>
            </m:fPr>
            <m:num>
              <m:r>
                <m:rPr>
                  <m:sty m:val="bi"/>
                </m:rPr>
                <w:rPr>
                  <w:rFonts w:ascii="Cambria Math" w:hAnsi="Cambria Math" w:cs="Arial"/>
                  <w:sz w:val="24"/>
                  <w:szCs w:val="24"/>
                </w:rPr>
                <m:t>C</m:t>
              </m:r>
            </m:num>
            <m:den>
              <m:r>
                <m:rPr>
                  <m:sty m:val="bi"/>
                </m:rPr>
                <w:rPr>
                  <w:rFonts w:ascii="Cambria Math" w:hAnsi="Cambria Math" w:cs="Arial"/>
                  <w:sz w:val="24"/>
                  <w:szCs w:val="24"/>
                </w:rPr>
                <m:t>12</m:t>
              </m:r>
            </m:den>
          </m:f>
          <m:r>
            <m:rPr>
              <m:sty m:val="bi"/>
            </m:rPr>
            <w:rPr>
              <w:rFonts w:ascii="Cambria Math" w:hAnsi="Cambria Math" w:cs="Arial" w:hint="eastAsia"/>
              <w:sz w:val="24"/>
              <w:szCs w:val="24"/>
            </w:rPr>
            <m:t>×</m:t>
          </m:r>
          <m:r>
            <m:rPr>
              <m:sty m:val="bi"/>
            </m:rPr>
            <w:rPr>
              <w:rFonts w:ascii="Cambria Math" w:hAnsi="Cambria Math" w:cs="Arial"/>
              <w:sz w:val="24"/>
              <w:szCs w:val="24"/>
            </w:rPr>
            <m:t>Koeficient sd</m:t>
          </m:r>
          <m:r>
            <m:rPr>
              <m:sty m:val="bi"/>
            </m:rPr>
            <w:rPr>
              <w:rFonts w:ascii="Cambria Math" w:hAnsi="Cambria Math" w:cs="Arial" w:hint="eastAsia"/>
              <w:sz w:val="24"/>
              <w:szCs w:val="24"/>
            </w:rPr>
            <m:t>í</m:t>
          </m:r>
          <m:r>
            <m:rPr>
              <m:sty m:val="bi"/>
            </m:rPr>
            <w:rPr>
              <w:rFonts w:ascii="Cambria Math" w:hAnsi="Cambria Math" w:cs="Arial"/>
              <w:sz w:val="24"/>
              <w:szCs w:val="24"/>
            </w:rPr>
            <m:t>len</m:t>
          </m:r>
          <m:r>
            <m:rPr>
              <m:sty m:val="bi"/>
            </m:rPr>
            <w:rPr>
              <w:rFonts w:ascii="Cambria Math" w:hAnsi="Cambria Math" w:cs="Arial" w:hint="eastAsia"/>
              <w:sz w:val="24"/>
              <w:szCs w:val="24"/>
            </w:rPr>
            <m:t>í</m:t>
          </m:r>
        </m:oMath>
      </m:oMathPara>
    </w:p>
    <w:p w14:paraId="7E507AC3" w14:textId="77777777" w:rsidR="00856EDA" w:rsidRPr="00BF6EEA" w:rsidRDefault="00856EDA" w:rsidP="00856EDA">
      <w:pPr>
        <w:pStyle w:val="Vvojcen-zkladntext"/>
        <w:ind w:firstLine="0"/>
        <w:rPr>
          <w:rFonts w:cs="Arial"/>
        </w:rPr>
      </w:pPr>
      <w:r w:rsidRPr="00BF6EEA">
        <w:rPr>
          <w:rFonts w:cs="Arial"/>
        </w:rPr>
        <w:t>kde</w:t>
      </w:r>
    </w:p>
    <w:p w14:paraId="708279A8" w14:textId="77777777" w:rsidR="00856EDA" w:rsidRPr="000C234A" w:rsidRDefault="00856EDA" w:rsidP="00712B46">
      <w:pPr>
        <w:tabs>
          <w:tab w:val="left" w:pos="2127"/>
        </w:tabs>
        <w:overflowPunct/>
        <w:textAlignment w:val="auto"/>
        <w:rPr>
          <w:rFonts w:ascii="Arial" w:eastAsiaTheme="minorHAnsi" w:hAnsi="Arial" w:cs="Arial"/>
          <w:i/>
          <w:color w:val="000000"/>
          <w:lang w:eastAsia="en-US"/>
        </w:rPr>
      </w:pPr>
      <w:r w:rsidRPr="000C234A">
        <w:rPr>
          <w:rFonts w:ascii="Arial" w:eastAsiaTheme="minorHAnsi" w:hAnsi="Arial" w:cs="Arial"/>
          <w:i/>
          <w:color w:val="000000"/>
          <w:lang w:eastAsia="en-US"/>
        </w:rPr>
        <w:t xml:space="preserve">C </w:t>
      </w:r>
      <w:r w:rsidRPr="000C234A">
        <w:rPr>
          <w:rFonts w:ascii="Arial" w:eastAsiaTheme="minorHAnsi" w:hAnsi="Arial" w:cs="Arial"/>
          <w:i/>
          <w:color w:val="000000"/>
          <w:lang w:eastAsia="en-US"/>
        </w:rPr>
        <w:tab/>
        <w:t xml:space="preserve">roční kapitálová platba za 1 metr mikrotrubičky v Kč, </w:t>
      </w:r>
    </w:p>
    <w:p w14:paraId="588214BF" w14:textId="77777777" w:rsidR="007821F7" w:rsidRPr="000C234A" w:rsidRDefault="00856EDA" w:rsidP="000C234A">
      <w:pPr>
        <w:pStyle w:val="Vvojcen-zkladntext"/>
        <w:spacing w:before="0" w:after="0"/>
        <w:ind w:firstLine="0"/>
        <w:rPr>
          <w:rFonts w:cs="Arial"/>
          <w:color w:val="000000" w:themeColor="text1"/>
          <w:sz w:val="20"/>
          <w:szCs w:val="20"/>
        </w:rPr>
      </w:pPr>
      <w:r w:rsidRPr="000C234A">
        <w:rPr>
          <w:rFonts w:eastAsiaTheme="minorHAnsi" w:cs="Arial"/>
          <w:i/>
          <w:color w:val="000000"/>
          <w:sz w:val="20"/>
          <w:szCs w:val="20"/>
          <w:lang w:eastAsia="en-US"/>
        </w:rPr>
        <w:t xml:space="preserve">Koeficient sdílení </w:t>
      </w:r>
      <w:r w:rsidRPr="000C234A">
        <w:rPr>
          <w:rFonts w:eastAsiaTheme="minorHAnsi" w:cs="Arial"/>
          <w:i/>
          <w:color w:val="000000"/>
          <w:sz w:val="20"/>
          <w:szCs w:val="20"/>
          <w:lang w:eastAsia="en-US"/>
        </w:rPr>
        <w:tab/>
        <w:t>využití prvku oprávněnou osobou v %.</w:t>
      </w:r>
    </w:p>
    <w:p w14:paraId="1162C0D3" w14:textId="77777777" w:rsidR="0089047E" w:rsidRPr="00B05191" w:rsidRDefault="009B7D22" w:rsidP="00F67923">
      <w:pPr>
        <w:pStyle w:val="Vvojcen-zkladntext"/>
        <w:rPr>
          <w:rFonts w:cs="Arial"/>
        </w:rPr>
      </w:pPr>
      <w:r w:rsidRPr="00B05191">
        <w:rPr>
          <w:rFonts w:cs="Arial"/>
        </w:rPr>
        <w:t>Pořizovací náklady</w:t>
      </w:r>
      <w:r w:rsidR="0089047E" w:rsidRPr="00B05191">
        <w:rPr>
          <w:rFonts w:cs="Arial"/>
        </w:rPr>
        <w:t xml:space="preserve"> </w:t>
      </w:r>
      <w:r w:rsidR="00850A9E" w:rsidRPr="00B05191">
        <w:rPr>
          <w:rFonts w:cs="Arial"/>
        </w:rPr>
        <w:t>n</w:t>
      </w:r>
      <w:r w:rsidR="0089047E" w:rsidRPr="00B05191">
        <w:rPr>
          <w:rFonts w:cs="Arial"/>
        </w:rPr>
        <w:t>a 1 metr</w:t>
      </w:r>
      <w:r w:rsidRPr="00B05191">
        <w:rPr>
          <w:rFonts w:cs="Arial"/>
        </w:rPr>
        <w:t xml:space="preserve"> výkopu pro uložení HDPE trubky</w:t>
      </w:r>
      <w:r w:rsidR="003031E0" w:rsidRPr="00B05191">
        <w:rPr>
          <w:rFonts w:cs="Arial"/>
        </w:rPr>
        <w:t>:</w:t>
      </w:r>
    </w:p>
    <w:p w14:paraId="148C258A" w14:textId="77777777" w:rsidR="00EB5B59" w:rsidRPr="000C234A" w:rsidRDefault="001C3993" w:rsidP="000C234A">
      <w:pPr>
        <w:pStyle w:val="Vvojcen-zkladntext"/>
        <w:pBdr>
          <w:top w:val="single" w:sz="4" w:space="1" w:color="auto"/>
          <w:left w:val="single" w:sz="4" w:space="4" w:color="auto"/>
          <w:bottom w:val="single" w:sz="4" w:space="1" w:color="auto"/>
          <w:right w:val="single" w:sz="4" w:space="4" w:color="auto"/>
        </w:pBdr>
        <w:rPr>
          <w:rFonts w:cs="Arial"/>
          <w:b/>
          <w:sz w:val="24"/>
          <w:szCs w:val="24"/>
        </w:rPr>
      </w:pPr>
      <m:oMathPara>
        <m:oMath>
          <m:r>
            <m:rPr>
              <m:sty m:val="bi"/>
            </m:rPr>
            <w:rPr>
              <w:rFonts w:ascii="Cambria Math" w:hAnsi="Cambria Math" w:cs="Arial"/>
              <w:sz w:val="24"/>
              <w:szCs w:val="24"/>
            </w:rPr>
            <m:t>Měsíční pronájem výkopu pro uložení HDPE trubky/mikrotrubičky=</m:t>
          </m:r>
          <m:f>
            <m:fPr>
              <m:ctrlPr>
                <w:rPr>
                  <w:rFonts w:ascii="Cambria Math" w:hAnsi="Cambria Math" w:cs="Arial"/>
                  <w:b/>
                  <w:i/>
                  <w:sz w:val="24"/>
                  <w:szCs w:val="24"/>
                </w:rPr>
              </m:ctrlPr>
            </m:fPr>
            <m:num>
              <m:r>
                <m:rPr>
                  <m:sty m:val="bi"/>
                </m:rPr>
                <w:rPr>
                  <w:rFonts w:ascii="Cambria Math" w:hAnsi="Cambria Math" w:cs="Arial"/>
                  <w:sz w:val="24"/>
                  <w:szCs w:val="24"/>
                </w:rPr>
                <m:t>C</m:t>
              </m:r>
            </m:num>
            <m:den>
              <m:r>
                <m:rPr>
                  <m:sty m:val="bi"/>
                </m:rPr>
                <w:rPr>
                  <w:rFonts w:ascii="Cambria Math" w:hAnsi="Cambria Math" w:cs="Arial"/>
                  <w:sz w:val="24"/>
                  <w:szCs w:val="24"/>
                </w:rPr>
                <m:t>12</m:t>
              </m:r>
            </m:den>
          </m:f>
          <m:r>
            <m:rPr>
              <m:sty m:val="bi"/>
            </m:rPr>
            <w:rPr>
              <w:rFonts w:ascii="Cambria Math" w:hAnsi="Cambria Math" w:cs="Arial" w:hint="eastAsia"/>
              <w:sz w:val="24"/>
              <w:szCs w:val="24"/>
            </w:rPr>
            <m:t>×</m:t>
          </m:r>
          <m:r>
            <m:rPr>
              <m:sty m:val="bi"/>
            </m:rPr>
            <w:rPr>
              <w:rFonts w:ascii="Cambria Math" w:hAnsi="Cambria Math" w:cs="Arial"/>
              <w:sz w:val="24"/>
              <w:szCs w:val="24"/>
            </w:rPr>
            <m:t>Koeficient sd</m:t>
          </m:r>
          <m:r>
            <m:rPr>
              <m:sty m:val="bi"/>
            </m:rPr>
            <w:rPr>
              <w:rFonts w:ascii="Cambria Math" w:hAnsi="Cambria Math" w:cs="Arial" w:hint="eastAsia"/>
              <w:sz w:val="24"/>
              <w:szCs w:val="24"/>
            </w:rPr>
            <m:t>í</m:t>
          </m:r>
          <m:r>
            <m:rPr>
              <m:sty m:val="bi"/>
            </m:rPr>
            <w:rPr>
              <w:rFonts w:ascii="Cambria Math" w:hAnsi="Cambria Math" w:cs="Arial"/>
              <w:sz w:val="24"/>
              <w:szCs w:val="24"/>
            </w:rPr>
            <m:t>len</m:t>
          </m:r>
          <m:r>
            <m:rPr>
              <m:sty m:val="bi"/>
            </m:rPr>
            <w:rPr>
              <w:rFonts w:ascii="Cambria Math" w:hAnsi="Cambria Math" w:cs="Arial" w:hint="eastAsia"/>
              <w:sz w:val="24"/>
              <w:szCs w:val="24"/>
            </w:rPr>
            <m:t>í</m:t>
          </m:r>
        </m:oMath>
      </m:oMathPara>
    </w:p>
    <w:p w14:paraId="5F88CC2A" w14:textId="77777777" w:rsidR="00EB5B59" w:rsidRPr="00BF6EEA" w:rsidRDefault="00EB5B59" w:rsidP="00EB5B59">
      <w:pPr>
        <w:pStyle w:val="Vvojcen-zkladntext"/>
        <w:ind w:firstLine="0"/>
        <w:rPr>
          <w:rFonts w:cs="Arial"/>
        </w:rPr>
      </w:pPr>
      <w:r w:rsidRPr="00BF6EEA">
        <w:rPr>
          <w:rFonts w:cs="Arial"/>
        </w:rPr>
        <w:t>kde</w:t>
      </w:r>
    </w:p>
    <w:p w14:paraId="1E0D4778" w14:textId="77777777" w:rsidR="00EB5B59" w:rsidRPr="000C234A" w:rsidRDefault="00EB5B59" w:rsidP="000C234A">
      <w:pPr>
        <w:tabs>
          <w:tab w:val="left" w:pos="2127"/>
        </w:tabs>
        <w:overflowPunct/>
        <w:ind w:left="2126" w:hanging="2126"/>
        <w:textAlignment w:val="auto"/>
        <w:rPr>
          <w:rFonts w:ascii="Arial" w:eastAsiaTheme="minorHAnsi" w:hAnsi="Arial" w:cs="Arial"/>
          <w:i/>
          <w:color w:val="000000"/>
          <w:lang w:eastAsia="en-US"/>
        </w:rPr>
      </w:pPr>
      <w:r w:rsidRPr="000C234A">
        <w:rPr>
          <w:rFonts w:ascii="Arial" w:eastAsiaTheme="minorHAnsi" w:hAnsi="Arial" w:cs="Arial"/>
          <w:i/>
          <w:color w:val="000000"/>
          <w:lang w:eastAsia="en-US"/>
        </w:rPr>
        <w:t xml:space="preserve">C </w:t>
      </w:r>
      <w:r w:rsidRPr="000C234A">
        <w:rPr>
          <w:rFonts w:ascii="Arial" w:eastAsiaTheme="minorHAnsi" w:hAnsi="Arial" w:cs="Arial"/>
          <w:i/>
          <w:color w:val="000000"/>
          <w:lang w:eastAsia="en-US"/>
        </w:rPr>
        <w:tab/>
      </w:r>
      <w:r w:rsidR="001C3993">
        <w:rPr>
          <w:rFonts w:ascii="Arial" w:eastAsiaTheme="minorHAnsi" w:hAnsi="Arial" w:cs="Arial"/>
          <w:i/>
          <w:color w:val="000000"/>
          <w:lang w:eastAsia="en-US"/>
        </w:rPr>
        <w:tab/>
      </w:r>
      <w:r w:rsidRPr="000C234A">
        <w:rPr>
          <w:rFonts w:ascii="Arial" w:eastAsiaTheme="minorHAnsi" w:hAnsi="Arial" w:cs="Arial"/>
          <w:i/>
          <w:color w:val="000000"/>
          <w:lang w:eastAsia="en-US"/>
        </w:rPr>
        <w:t>roční kapitálová platba za 1 metr výkopu pro uložení HDPE trubky</w:t>
      </w:r>
      <w:r w:rsidR="009A5ED9" w:rsidRPr="000C234A">
        <w:rPr>
          <w:rFonts w:ascii="Arial" w:eastAsiaTheme="minorHAnsi" w:hAnsi="Arial" w:cs="Arial"/>
          <w:i/>
          <w:color w:val="000000"/>
          <w:lang w:eastAsia="en-US"/>
        </w:rPr>
        <w:t>/mikrotrubičky</w:t>
      </w:r>
      <w:r w:rsidRPr="000C234A">
        <w:rPr>
          <w:rFonts w:ascii="Arial" w:eastAsiaTheme="minorHAnsi" w:hAnsi="Arial" w:cs="Arial"/>
          <w:i/>
          <w:color w:val="000000"/>
          <w:lang w:eastAsia="en-US"/>
        </w:rPr>
        <w:t xml:space="preserve"> v Kč, </w:t>
      </w:r>
    </w:p>
    <w:p w14:paraId="7E7B82C2" w14:textId="77777777" w:rsidR="00E910B1" w:rsidRPr="000C234A" w:rsidRDefault="00EB5B59" w:rsidP="000C234A">
      <w:pPr>
        <w:pStyle w:val="Vvojcen-zkladntext"/>
        <w:spacing w:before="0" w:after="0"/>
        <w:ind w:firstLine="0"/>
        <w:rPr>
          <w:rFonts w:cs="Arial"/>
          <w:color w:val="000000" w:themeColor="text1"/>
          <w:sz w:val="20"/>
          <w:szCs w:val="20"/>
        </w:rPr>
      </w:pPr>
      <w:r w:rsidRPr="000C234A">
        <w:rPr>
          <w:rFonts w:eastAsiaTheme="minorHAnsi" w:cs="Arial"/>
          <w:i/>
          <w:color w:val="000000"/>
          <w:sz w:val="20"/>
          <w:szCs w:val="20"/>
          <w:lang w:eastAsia="en-US"/>
        </w:rPr>
        <w:t xml:space="preserve">Koeficient sdílení </w:t>
      </w:r>
      <w:r w:rsidRPr="000C234A">
        <w:rPr>
          <w:rFonts w:eastAsiaTheme="minorHAnsi" w:cs="Arial"/>
          <w:i/>
          <w:color w:val="000000"/>
          <w:sz w:val="20"/>
          <w:szCs w:val="20"/>
          <w:lang w:eastAsia="en-US"/>
        </w:rPr>
        <w:tab/>
        <w:t>využití prvku oprávněnou osobou v %.</w:t>
      </w:r>
    </w:p>
    <w:p w14:paraId="333CAA79" w14:textId="77777777" w:rsidR="00AB1A34" w:rsidRPr="00B300B4" w:rsidRDefault="00AB1A34" w:rsidP="00F67923">
      <w:pPr>
        <w:pStyle w:val="Vvojcen-zkladntext"/>
        <w:rPr>
          <w:rFonts w:cs="Arial"/>
          <w:color w:val="000000" w:themeColor="text1"/>
          <w:szCs w:val="24"/>
        </w:rPr>
      </w:pPr>
      <w:r w:rsidRPr="00975ACC">
        <w:rPr>
          <w:rFonts w:cs="Arial"/>
        </w:rPr>
        <w:t>Vzhledem k tomu, že cena výkopů se může lišit podle typu zástavby, je možné průměrnou cenu výkopu modifikovat podle procenta zastoupení jednotlivých zón</w:t>
      </w:r>
      <w:r w:rsidR="00773DF5" w:rsidRPr="00B05191">
        <w:rPr>
          <w:rFonts w:cs="Arial"/>
        </w:rPr>
        <w:t xml:space="preserve">, případně při souběhu více typů zón je </w:t>
      </w:r>
      <w:r w:rsidR="009B7D22" w:rsidRPr="00B05191">
        <w:rPr>
          <w:rFonts w:cs="Arial"/>
        </w:rPr>
        <w:t xml:space="preserve">možné stanovit cenu jako vážený </w:t>
      </w:r>
      <w:r w:rsidR="00773DF5" w:rsidRPr="00B05191">
        <w:rPr>
          <w:rFonts w:cs="Arial"/>
        </w:rPr>
        <w:t>průměr</w:t>
      </w:r>
      <w:r w:rsidRPr="00B05191">
        <w:rPr>
          <w:rFonts w:cs="Arial"/>
        </w:rPr>
        <w:t xml:space="preserve">. </w:t>
      </w:r>
    </w:p>
    <w:p w14:paraId="3964C537" w14:textId="77777777" w:rsidR="000E7AFE" w:rsidRPr="000C234A" w:rsidRDefault="00773DF5" w:rsidP="003031E0">
      <w:pPr>
        <w:overflowPunct/>
        <w:autoSpaceDE/>
        <w:autoSpaceDN/>
        <w:adjustRightInd/>
        <w:spacing w:before="120" w:after="120"/>
        <w:jc w:val="both"/>
        <w:textAlignment w:val="auto"/>
        <w:rPr>
          <w:rFonts w:ascii="Arial" w:hAnsi="Arial" w:cs="Arial"/>
          <w:color w:val="000000" w:themeColor="text1"/>
          <w:sz w:val="24"/>
          <w:szCs w:val="24"/>
        </w:rPr>
      </w:pPr>
      <w:r w:rsidRPr="000C234A">
        <w:rPr>
          <w:rFonts w:ascii="Arial" w:hAnsi="Arial" w:cs="Arial"/>
          <w:noProof/>
        </w:rPr>
        <w:drawing>
          <wp:inline distT="0" distB="0" distL="0" distR="0" wp14:anchorId="2DF8EB2B" wp14:editId="41628A51">
            <wp:extent cx="5762625" cy="1359535"/>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4206" cy="1359908"/>
                    </a:xfrm>
                    <a:prstGeom prst="rect">
                      <a:avLst/>
                    </a:prstGeom>
                    <a:noFill/>
                    <a:ln>
                      <a:noFill/>
                    </a:ln>
                  </pic:spPr>
                </pic:pic>
              </a:graphicData>
            </a:graphic>
          </wp:inline>
        </w:drawing>
      </w:r>
    </w:p>
    <w:p w14:paraId="69EE9FFA" w14:textId="77777777" w:rsidR="00097988" w:rsidRPr="00975ACC" w:rsidRDefault="00097988" w:rsidP="00F67923">
      <w:pPr>
        <w:pStyle w:val="Vvojcen-nadpis3"/>
      </w:pPr>
      <w:bookmarkStart w:id="28" w:name="_Toc484008749"/>
      <w:bookmarkStart w:id="29" w:name="_Toc484009741"/>
      <w:bookmarkStart w:id="30" w:name="_Toc484009798"/>
      <w:bookmarkStart w:id="31" w:name="_Toc484009855"/>
      <w:bookmarkStart w:id="32" w:name="_Toc484009933"/>
      <w:bookmarkStart w:id="33" w:name="_Toc484010711"/>
      <w:bookmarkStart w:id="34" w:name="_Toc484008750"/>
      <w:bookmarkStart w:id="35" w:name="_Toc484009742"/>
      <w:bookmarkStart w:id="36" w:name="_Toc484009799"/>
      <w:bookmarkStart w:id="37" w:name="_Toc484009856"/>
      <w:bookmarkStart w:id="38" w:name="_Toc484009934"/>
      <w:bookmarkStart w:id="39" w:name="_Toc484010712"/>
      <w:bookmarkStart w:id="40" w:name="_Toc496446432"/>
      <w:bookmarkStart w:id="41" w:name="_Toc496518786"/>
      <w:bookmarkEnd w:id="28"/>
      <w:bookmarkEnd w:id="29"/>
      <w:bookmarkEnd w:id="30"/>
      <w:bookmarkEnd w:id="31"/>
      <w:bookmarkEnd w:id="32"/>
      <w:bookmarkEnd w:id="33"/>
      <w:bookmarkEnd w:id="34"/>
      <w:bookmarkEnd w:id="35"/>
      <w:bookmarkEnd w:id="36"/>
      <w:bookmarkEnd w:id="37"/>
      <w:bookmarkEnd w:id="38"/>
      <w:bookmarkEnd w:id="39"/>
      <w:r w:rsidRPr="00975ACC">
        <w:t>Stožáry</w:t>
      </w:r>
      <w:bookmarkEnd w:id="40"/>
      <w:bookmarkEnd w:id="41"/>
    </w:p>
    <w:p w14:paraId="027C213A" w14:textId="77777777" w:rsidR="00E809DF" w:rsidRPr="00CA4021" w:rsidRDefault="00490AE1" w:rsidP="00F67923">
      <w:pPr>
        <w:pStyle w:val="Vvojcen-zkladntext"/>
        <w:rPr>
          <w:rFonts w:cs="Arial"/>
        </w:rPr>
      </w:pPr>
      <w:r w:rsidRPr="00975ACC">
        <w:rPr>
          <w:rFonts w:cs="Arial"/>
        </w:rPr>
        <w:t>J</w:t>
      </w:r>
      <w:r w:rsidR="00E809DF" w:rsidRPr="00975ACC">
        <w:rPr>
          <w:rFonts w:cs="Arial"/>
        </w:rPr>
        <w:t>edná</w:t>
      </w:r>
      <w:r w:rsidRPr="00975ACC">
        <w:rPr>
          <w:rFonts w:cs="Arial"/>
        </w:rPr>
        <w:t xml:space="preserve"> se</w:t>
      </w:r>
      <w:r w:rsidR="00E809DF" w:rsidRPr="00975ACC">
        <w:rPr>
          <w:rFonts w:cs="Arial"/>
        </w:rPr>
        <w:t xml:space="preserve"> o sloupy, zpravidla z hloubkově impregnovaného dřeva ukotven</w:t>
      </w:r>
      <w:r w:rsidRPr="00975ACC">
        <w:rPr>
          <w:rFonts w:cs="Arial"/>
        </w:rPr>
        <w:t>é</w:t>
      </w:r>
      <w:r w:rsidR="00E809DF" w:rsidRPr="00975ACC">
        <w:rPr>
          <w:rFonts w:cs="Arial"/>
        </w:rPr>
        <w:t xml:space="preserve"> na betonových patkách, které sl</w:t>
      </w:r>
      <w:r w:rsidR="00E809DF" w:rsidRPr="00B05191">
        <w:rPr>
          <w:rFonts w:cs="Arial"/>
        </w:rPr>
        <w:t xml:space="preserve">ouží k zavěšení kabelů nebo umístění rozvodných skříní, </w:t>
      </w:r>
      <w:r w:rsidR="00EF6A4B" w:rsidRPr="00B05191">
        <w:rPr>
          <w:rFonts w:cs="Arial"/>
        </w:rPr>
        <w:t>případně o jin</w:t>
      </w:r>
      <w:r w:rsidRPr="00B05191">
        <w:rPr>
          <w:rFonts w:cs="Arial"/>
        </w:rPr>
        <w:t>é</w:t>
      </w:r>
      <w:r w:rsidR="00EF6A4B" w:rsidRPr="00B05191">
        <w:rPr>
          <w:rFonts w:cs="Arial"/>
        </w:rPr>
        <w:t xml:space="preserve"> typy sloupů </w:t>
      </w:r>
      <w:r w:rsidRPr="00B05191">
        <w:rPr>
          <w:rFonts w:cs="Arial"/>
        </w:rPr>
        <w:t>neb</w:t>
      </w:r>
      <w:r w:rsidR="00E809DF" w:rsidRPr="00B05191">
        <w:rPr>
          <w:rFonts w:cs="Arial"/>
        </w:rPr>
        <w:t>o stožár</w:t>
      </w:r>
      <w:r w:rsidRPr="00B05191">
        <w:rPr>
          <w:rFonts w:cs="Arial"/>
        </w:rPr>
        <w:t>ů</w:t>
      </w:r>
      <w:r w:rsidR="00E809DF" w:rsidRPr="00B05191">
        <w:rPr>
          <w:rFonts w:cs="Arial"/>
        </w:rPr>
        <w:t xml:space="preserve"> pro umístění</w:t>
      </w:r>
      <w:r w:rsidRPr="00B300B4">
        <w:rPr>
          <w:rFonts w:cs="Arial"/>
        </w:rPr>
        <w:t xml:space="preserve"> různých vedení a</w:t>
      </w:r>
      <w:r w:rsidR="00E809DF" w:rsidRPr="00B300B4">
        <w:rPr>
          <w:rFonts w:cs="Arial"/>
        </w:rPr>
        <w:t xml:space="preserve"> anténních systémů. </w:t>
      </w:r>
      <w:r w:rsidRPr="00CA4021">
        <w:rPr>
          <w:rFonts w:cs="Arial"/>
        </w:rPr>
        <w:t>V</w:t>
      </w:r>
      <w:r w:rsidR="00741566" w:rsidRPr="00CA4021">
        <w:rPr>
          <w:rFonts w:cs="Arial"/>
        </w:rPr>
        <w:t>ýpočet ceny</w:t>
      </w:r>
      <w:r w:rsidR="00AA6DCC" w:rsidRPr="00CA4021">
        <w:rPr>
          <w:rFonts w:cs="Arial"/>
        </w:rPr>
        <w:t xml:space="preserve"> </w:t>
      </w:r>
      <w:r w:rsidR="00741566" w:rsidRPr="00CA4021">
        <w:rPr>
          <w:rFonts w:cs="Arial"/>
        </w:rPr>
        <w:t xml:space="preserve">jednotlivých </w:t>
      </w:r>
      <w:r w:rsidR="00AA6DCC" w:rsidRPr="00CA4021">
        <w:rPr>
          <w:rFonts w:cs="Arial"/>
        </w:rPr>
        <w:t xml:space="preserve">prvků této kategorie fyzické infrastruktury </w:t>
      </w:r>
      <w:r w:rsidRPr="00CA4021">
        <w:rPr>
          <w:rFonts w:cs="Arial"/>
        </w:rPr>
        <w:t>bude proveden individuálně a</w:t>
      </w:r>
      <w:r w:rsidR="00741566" w:rsidRPr="00CA4021">
        <w:rPr>
          <w:rFonts w:cs="Arial"/>
        </w:rPr>
        <w:t xml:space="preserve"> </w:t>
      </w:r>
      <w:r w:rsidR="00CB3346" w:rsidRPr="00CA4021">
        <w:rPr>
          <w:rFonts w:cs="Arial"/>
        </w:rPr>
        <w:t xml:space="preserve">obecný postup je </w:t>
      </w:r>
      <w:r w:rsidR="00741566" w:rsidRPr="00CA4021">
        <w:rPr>
          <w:rFonts w:cs="Arial"/>
        </w:rPr>
        <w:t>univerzáln</w:t>
      </w:r>
      <w:r w:rsidRPr="00CA4021">
        <w:rPr>
          <w:rFonts w:cs="Arial"/>
        </w:rPr>
        <w:t xml:space="preserve">ě </w:t>
      </w:r>
      <w:r w:rsidR="00741566" w:rsidRPr="00CA4021">
        <w:rPr>
          <w:rFonts w:cs="Arial"/>
        </w:rPr>
        <w:t>plat</w:t>
      </w:r>
      <w:r w:rsidRPr="00CA4021">
        <w:rPr>
          <w:rFonts w:cs="Arial"/>
        </w:rPr>
        <w:t>ný</w:t>
      </w:r>
      <w:r w:rsidR="00741566" w:rsidRPr="00CA4021">
        <w:rPr>
          <w:rFonts w:cs="Arial"/>
        </w:rPr>
        <w:t xml:space="preserve"> jak pro sloupy, tak i stožáry.</w:t>
      </w:r>
      <w:r w:rsidR="003825CE" w:rsidRPr="00CA4021">
        <w:rPr>
          <w:rFonts w:cs="Arial"/>
        </w:rPr>
        <w:t xml:space="preserve"> </w:t>
      </w:r>
    </w:p>
    <w:p w14:paraId="53A39FC7" w14:textId="77777777" w:rsidR="00E704C6" w:rsidRPr="00BF6EEA" w:rsidRDefault="009B7D22" w:rsidP="00F67923">
      <w:pPr>
        <w:pStyle w:val="Vvojcen-zkladntext"/>
        <w:rPr>
          <w:rFonts w:cs="Arial"/>
        </w:rPr>
      </w:pPr>
      <w:r w:rsidRPr="00BF6EEA">
        <w:rPr>
          <w:rFonts w:cs="Arial"/>
        </w:rPr>
        <w:t>Pořizovací náklady na 1 kus sloupu/stožáru</w:t>
      </w:r>
      <w:r w:rsidR="00A425DA" w:rsidRPr="00BF6EEA">
        <w:rPr>
          <w:rFonts w:cs="Arial"/>
        </w:rPr>
        <w:t>:</w:t>
      </w:r>
    </w:p>
    <w:p w14:paraId="473571AE" w14:textId="77777777" w:rsidR="0056113C" w:rsidRPr="000C234A" w:rsidRDefault="001C3993" w:rsidP="000C234A">
      <w:pPr>
        <w:pStyle w:val="Vvojcen-zkladntext"/>
        <w:pBdr>
          <w:top w:val="single" w:sz="4" w:space="1" w:color="auto"/>
          <w:left w:val="single" w:sz="4" w:space="4" w:color="auto"/>
          <w:bottom w:val="single" w:sz="4" w:space="1" w:color="auto"/>
          <w:right w:val="single" w:sz="4" w:space="4" w:color="auto"/>
        </w:pBdr>
        <w:rPr>
          <w:rFonts w:cs="Arial"/>
          <w:b/>
          <w:sz w:val="24"/>
          <w:szCs w:val="24"/>
        </w:rPr>
      </w:pPr>
      <m:oMathPara>
        <m:oMath>
          <m:r>
            <m:rPr>
              <m:sty m:val="bi"/>
            </m:rPr>
            <w:rPr>
              <w:rFonts w:ascii="Cambria Math" w:hAnsi="Cambria Math" w:cs="Arial"/>
              <w:sz w:val="24"/>
              <w:szCs w:val="24"/>
            </w:rPr>
            <m:t>M</m:t>
          </m:r>
          <m:r>
            <m:rPr>
              <m:sty m:val="bi"/>
            </m:rPr>
            <w:rPr>
              <w:rFonts w:ascii="Cambria Math" w:hAnsi="Cambria Math" w:cs="Arial" w:hint="eastAsia"/>
              <w:sz w:val="24"/>
              <w:szCs w:val="24"/>
            </w:rPr>
            <m:t>ě</m:t>
          </m:r>
          <m:r>
            <m:rPr>
              <m:sty m:val="bi"/>
            </m:rPr>
            <w:rPr>
              <w:rFonts w:ascii="Cambria Math" w:hAnsi="Cambria Math" w:cs="Arial"/>
              <w:sz w:val="24"/>
              <w:szCs w:val="24"/>
            </w:rPr>
            <m:t>s</m:t>
          </m:r>
          <m:r>
            <m:rPr>
              <m:sty m:val="bi"/>
            </m:rPr>
            <w:rPr>
              <w:rFonts w:ascii="Cambria Math" w:hAnsi="Cambria Math" w:cs="Arial" w:hint="eastAsia"/>
              <w:sz w:val="24"/>
              <w:szCs w:val="24"/>
            </w:rPr>
            <m:t>íč</m:t>
          </m:r>
          <m:r>
            <m:rPr>
              <m:sty m:val="bi"/>
            </m:rPr>
            <w:rPr>
              <w:rFonts w:ascii="Cambria Math" w:hAnsi="Cambria Math" w:cs="Arial"/>
              <w:sz w:val="24"/>
              <w:szCs w:val="24"/>
            </w:rPr>
            <m:t>n</m:t>
          </m:r>
          <m:r>
            <m:rPr>
              <m:sty m:val="bi"/>
            </m:rPr>
            <w:rPr>
              <w:rFonts w:ascii="Cambria Math" w:hAnsi="Cambria Math" w:cs="Arial" w:hint="eastAsia"/>
              <w:sz w:val="24"/>
              <w:szCs w:val="24"/>
            </w:rPr>
            <m:t>í</m:t>
          </m:r>
          <m:r>
            <m:rPr>
              <m:sty m:val="bi"/>
            </m:rPr>
            <w:rPr>
              <w:rFonts w:ascii="Cambria Math" w:hAnsi="Cambria Math" w:cs="Arial"/>
              <w:sz w:val="24"/>
              <w:szCs w:val="24"/>
            </w:rPr>
            <m:t xml:space="preserve"> pron</m:t>
          </m:r>
          <m:r>
            <m:rPr>
              <m:sty m:val="bi"/>
            </m:rPr>
            <w:rPr>
              <w:rFonts w:ascii="Cambria Math" w:hAnsi="Cambria Math" w:cs="Arial" w:hint="eastAsia"/>
              <w:sz w:val="24"/>
              <w:szCs w:val="24"/>
            </w:rPr>
            <m:t>á</m:t>
          </m:r>
          <m:r>
            <m:rPr>
              <m:sty m:val="bi"/>
            </m:rPr>
            <w:rPr>
              <w:rFonts w:ascii="Cambria Math" w:hAnsi="Cambria Math" w:cs="Arial"/>
              <w:sz w:val="24"/>
              <w:szCs w:val="24"/>
            </w:rPr>
            <m:t>jem sloupu/stožáru=</m:t>
          </m:r>
          <m:f>
            <m:fPr>
              <m:ctrlPr>
                <w:rPr>
                  <w:rFonts w:ascii="Cambria Math" w:hAnsi="Cambria Math" w:cs="Arial"/>
                  <w:b/>
                  <w:i/>
                  <w:sz w:val="24"/>
                  <w:szCs w:val="24"/>
                </w:rPr>
              </m:ctrlPr>
            </m:fPr>
            <m:num>
              <m:r>
                <m:rPr>
                  <m:sty m:val="bi"/>
                </m:rPr>
                <w:rPr>
                  <w:rFonts w:ascii="Cambria Math" w:hAnsi="Cambria Math" w:cs="Arial"/>
                  <w:sz w:val="24"/>
                  <w:szCs w:val="24"/>
                </w:rPr>
                <m:t>C</m:t>
              </m:r>
            </m:num>
            <m:den>
              <m:r>
                <m:rPr>
                  <m:sty m:val="bi"/>
                </m:rPr>
                <w:rPr>
                  <w:rFonts w:ascii="Cambria Math" w:hAnsi="Cambria Math" w:cs="Arial"/>
                  <w:sz w:val="24"/>
                  <w:szCs w:val="24"/>
                </w:rPr>
                <m:t>12</m:t>
              </m:r>
            </m:den>
          </m:f>
          <m:r>
            <m:rPr>
              <m:sty m:val="bi"/>
            </m:rPr>
            <w:rPr>
              <w:rFonts w:ascii="Cambria Math" w:hAnsi="Cambria Math" w:cs="Arial" w:hint="eastAsia"/>
              <w:sz w:val="24"/>
              <w:szCs w:val="24"/>
            </w:rPr>
            <m:t>×</m:t>
          </m:r>
          <m:r>
            <m:rPr>
              <m:sty m:val="bi"/>
            </m:rPr>
            <w:rPr>
              <w:rFonts w:ascii="Cambria Math" w:hAnsi="Cambria Math" w:cs="Arial"/>
              <w:sz w:val="24"/>
              <w:szCs w:val="24"/>
            </w:rPr>
            <m:t>Koeficient sd</m:t>
          </m:r>
          <m:r>
            <m:rPr>
              <m:sty m:val="bi"/>
            </m:rPr>
            <w:rPr>
              <w:rFonts w:ascii="Cambria Math" w:hAnsi="Cambria Math" w:cs="Arial" w:hint="eastAsia"/>
              <w:sz w:val="24"/>
              <w:szCs w:val="24"/>
            </w:rPr>
            <m:t>í</m:t>
          </m:r>
          <m:r>
            <m:rPr>
              <m:sty m:val="bi"/>
            </m:rPr>
            <w:rPr>
              <w:rFonts w:ascii="Cambria Math" w:hAnsi="Cambria Math" w:cs="Arial"/>
              <w:sz w:val="24"/>
              <w:szCs w:val="24"/>
            </w:rPr>
            <m:t>len</m:t>
          </m:r>
          <m:r>
            <m:rPr>
              <m:sty m:val="bi"/>
            </m:rPr>
            <w:rPr>
              <w:rFonts w:ascii="Cambria Math" w:hAnsi="Cambria Math" w:cs="Arial" w:hint="eastAsia"/>
              <w:sz w:val="24"/>
              <w:szCs w:val="24"/>
            </w:rPr>
            <m:t>í</m:t>
          </m:r>
        </m:oMath>
      </m:oMathPara>
    </w:p>
    <w:p w14:paraId="6856F8A0" w14:textId="77777777" w:rsidR="0056113C" w:rsidRPr="000C234A" w:rsidRDefault="0056113C" w:rsidP="0056113C">
      <w:pPr>
        <w:pStyle w:val="Vvojcen-zkladntext"/>
        <w:ind w:firstLine="0"/>
        <w:rPr>
          <w:rFonts w:cs="Arial"/>
        </w:rPr>
      </w:pPr>
      <w:r w:rsidRPr="000C234A">
        <w:rPr>
          <w:rFonts w:cs="Arial"/>
        </w:rPr>
        <w:t>kde</w:t>
      </w:r>
    </w:p>
    <w:p w14:paraId="6B8CF8D9" w14:textId="77777777" w:rsidR="0056113C" w:rsidRPr="000C234A" w:rsidRDefault="0056113C" w:rsidP="00712B46">
      <w:pPr>
        <w:tabs>
          <w:tab w:val="left" w:pos="2127"/>
        </w:tabs>
        <w:overflowPunct/>
        <w:textAlignment w:val="auto"/>
        <w:rPr>
          <w:rFonts w:ascii="Arial" w:eastAsiaTheme="minorHAnsi" w:hAnsi="Arial" w:cs="Arial"/>
          <w:i/>
          <w:color w:val="000000"/>
          <w:lang w:eastAsia="en-US"/>
        </w:rPr>
      </w:pPr>
      <w:r w:rsidRPr="000C234A">
        <w:rPr>
          <w:rFonts w:ascii="Arial" w:eastAsiaTheme="minorHAnsi" w:hAnsi="Arial" w:cs="Arial"/>
          <w:i/>
          <w:color w:val="000000"/>
          <w:lang w:eastAsia="en-US"/>
        </w:rPr>
        <w:t xml:space="preserve">C </w:t>
      </w:r>
      <w:r w:rsidRPr="000C234A">
        <w:rPr>
          <w:rFonts w:ascii="Arial" w:eastAsiaTheme="minorHAnsi" w:hAnsi="Arial" w:cs="Arial"/>
          <w:i/>
          <w:color w:val="000000"/>
          <w:lang w:eastAsia="en-US"/>
        </w:rPr>
        <w:tab/>
        <w:t xml:space="preserve">roční kapitálová platba za 1 kus sloupu/stožáru v Kč, </w:t>
      </w:r>
    </w:p>
    <w:p w14:paraId="49475227" w14:textId="51A9A30D" w:rsidR="009F39DE" w:rsidRPr="000C234A" w:rsidRDefault="0056113C" w:rsidP="000C234A">
      <w:pPr>
        <w:pStyle w:val="Vvojcen-zkladntext"/>
        <w:spacing w:before="0" w:after="0"/>
        <w:ind w:firstLine="0"/>
        <w:rPr>
          <w:rFonts w:cs="Arial"/>
          <w:color w:val="000000" w:themeColor="text1"/>
          <w:sz w:val="24"/>
          <w:szCs w:val="24"/>
        </w:rPr>
      </w:pPr>
      <w:r w:rsidRPr="000C234A">
        <w:rPr>
          <w:rFonts w:eastAsiaTheme="minorHAnsi" w:cs="Arial"/>
          <w:i/>
          <w:color w:val="000000"/>
          <w:sz w:val="20"/>
          <w:szCs w:val="20"/>
          <w:lang w:eastAsia="en-US"/>
        </w:rPr>
        <w:t xml:space="preserve">Koeficient sdílení </w:t>
      </w:r>
      <w:r w:rsidRPr="000C234A">
        <w:rPr>
          <w:rFonts w:eastAsiaTheme="minorHAnsi" w:cs="Arial"/>
          <w:i/>
          <w:color w:val="000000"/>
          <w:sz w:val="20"/>
          <w:szCs w:val="20"/>
          <w:lang w:eastAsia="en-US"/>
        </w:rPr>
        <w:tab/>
        <w:t>využití prvku oprávněnou osobou v %.</w:t>
      </w:r>
    </w:p>
    <w:p w14:paraId="5027720A" w14:textId="13869CDD" w:rsidR="002B754B" w:rsidRPr="000C234A" w:rsidRDefault="00697B2B" w:rsidP="000C234A">
      <w:pPr>
        <w:pStyle w:val="Vvojcen-zkladntext"/>
      </w:pPr>
      <w:bookmarkStart w:id="42" w:name="_Toc484008752"/>
      <w:bookmarkStart w:id="43" w:name="_Toc484009744"/>
      <w:bookmarkStart w:id="44" w:name="_Toc484009801"/>
      <w:bookmarkStart w:id="45" w:name="_Toc484009858"/>
      <w:bookmarkStart w:id="46" w:name="_Toc484009936"/>
      <w:bookmarkStart w:id="47" w:name="_Toc484010714"/>
      <w:bookmarkEnd w:id="42"/>
      <w:bookmarkEnd w:id="43"/>
      <w:bookmarkEnd w:id="44"/>
      <w:bookmarkEnd w:id="45"/>
      <w:bookmarkEnd w:id="46"/>
      <w:bookmarkEnd w:id="47"/>
      <w:r w:rsidRPr="00B05191">
        <w:rPr>
          <w:rFonts w:cs="Arial"/>
        </w:rPr>
        <w:t xml:space="preserve">Cena měsíčního pronájmu tohoto prvku fyzické infrastruktury bude vycházet z pořizovacích nákladů, zohledňující procento </w:t>
      </w:r>
      <w:r w:rsidR="002B754B" w:rsidRPr="000C234A">
        <w:rPr>
          <w:rFonts w:cs="Arial"/>
        </w:rPr>
        <w:t xml:space="preserve">využití </w:t>
      </w:r>
      <w:r w:rsidR="007773BB" w:rsidRPr="000C234A">
        <w:rPr>
          <w:rFonts w:cs="Arial"/>
        </w:rPr>
        <w:t>sloupu/</w:t>
      </w:r>
      <w:r w:rsidRPr="00B05191">
        <w:rPr>
          <w:rFonts w:cs="Arial"/>
        </w:rPr>
        <w:t>stožáru</w:t>
      </w:r>
      <w:r w:rsidR="002B754B" w:rsidRPr="000C234A">
        <w:rPr>
          <w:rFonts w:cs="Arial"/>
        </w:rPr>
        <w:t xml:space="preserve"> pro broadbandové služby, popř. sdílení</w:t>
      </w:r>
      <w:r w:rsidRPr="00B05191">
        <w:rPr>
          <w:rFonts w:cs="Arial"/>
        </w:rPr>
        <w:t xml:space="preserve"> s různými dalšími sítěmi a službami</w:t>
      </w:r>
      <w:r w:rsidR="002B754B" w:rsidRPr="000C234A">
        <w:rPr>
          <w:rFonts w:cs="Arial"/>
        </w:rPr>
        <w:t xml:space="preserve"> v případě, ž</w:t>
      </w:r>
      <w:r w:rsidR="00476087" w:rsidRPr="000C234A">
        <w:rPr>
          <w:rFonts w:cs="Arial"/>
        </w:rPr>
        <w:t xml:space="preserve">e provozovatelem daného </w:t>
      </w:r>
      <w:r w:rsidR="002B754B" w:rsidRPr="000C234A">
        <w:rPr>
          <w:rFonts w:cs="Arial"/>
        </w:rPr>
        <w:t>sloupu</w:t>
      </w:r>
      <w:r w:rsidR="00476087" w:rsidRPr="000C234A">
        <w:rPr>
          <w:rFonts w:cs="Arial"/>
        </w:rPr>
        <w:t>/stožáru</w:t>
      </w:r>
      <w:r w:rsidR="002B754B" w:rsidRPr="000C234A">
        <w:rPr>
          <w:rFonts w:cs="Arial"/>
        </w:rPr>
        <w:t xml:space="preserve"> je operátor elektronických komunikací</w:t>
      </w:r>
      <w:r w:rsidR="0056113C" w:rsidRPr="000C234A">
        <w:rPr>
          <w:rFonts w:cs="Arial"/>
        </w:rPr>
        <w:t xml:space="preserve">, který prostřednictvím daného sloupu/stožáru sám poskytuje služby využívající vysokorychlostní sítě elektronických </w:t>
      </w:r>
      <w:r w:rsidR="0056113C" w:rsidRPr="000C234A">
        <w:rPr>
          <w:rFonts w:cs="Arial"/>
        </w:rPr>
        <w:lastRenderedPageBreak/>
        <w:t>komunikací</w:t>
      </w:r>
      <w:r w:rsidRPr="00B05191">
        <w:rPr>
          <w:rFonts w:cs="Arial"/>
        </w:rPr>
        <w:t xml:space="preserve">. </w:t>
      </w:r>
      <w:r w:rsidR="00203C6E" w:rsidRPr="000C234A">
        <w:rPr>
          <w:rFonts w:cs="Arial"/>
        </w:rPr>
        <w:t xml:space="preserve">Prostřednictvím koeficientu </w:t>
      </w:r>
      <w:r w:rsidR="009E06BD" w:rsidRPr="000C234A">
        <w:rPr>
          <w:rFonts w:cs="Arial"/>
        </w:rPr>
        <w:t xml:space="preserve">využití (resp. </w:t>
      </w:r>
      <w:r w:rsidR="00203C6E" w:rsidRPr="000C234A">
        <w:rPr>
          <w:rFonts w:cs="Arial"/>
        </w:rPr>
        <w:t>sdílení</w:t>
      </w:r>
      <w:r w:rsidR="009E06BD" w:rsidRPr="000C234A">
        <w:rPr>
          <w:rFonts w:cs="Arial"/>
        </w:rPr>
        <w:t>)</w:t>
      </w:r>
      <w:r w:rsidR="00203C6E" w:rsidRPr="000C234A">
        <w:rPr>
          <w:rFonts w:cs="Arial"/>
        </w:rPr>
        <w:t xml:space="preserve"> je umožněno přiřadit do ceny za službu pronájmu využití </w:t>
      </w:r>
      <w:r w:rsidR="00476087" w:rsidRPr="000C234A">
        <w:rPr>
          <w:rFonts w:cs="Arial"/>
        </w:rPr>
        <w:t>sloupů/</w:t>
      </w:r>
      <w:r w:rsidR="00203C6E" w:rsidRPr="000C234A">
        <w:rPr>
          <w:rFonts w:cs="Arial"/>
        </w:rPr>
        <w:t>stožárů takovou výši nákladů, která bude odpovídat poměru využití prvku pro službu elektronických komunikací. Tento koeficient nelze</w:t>
      </w:r>
      <w:r w:rsidR="00C35154" w:rsidRPr="000C234A">
        <w:rPr>
          <w:rFonts w:cs="Arial"/>
        </w:rPr>
        <w:t xml:space="preserve"> pro všechny případy</w:t>
      </w:r>
      <w:r w:rsidR="00203C6E" w:rsidRPr="000C234A">
        <w:rPr>
          <w:rFonts w:cs="Arial"/>
        </w:rPr>
        <w:t xml:space="preserve"> ex ante konkrétně stanovit, nicméně povinná osoba</w:t>
      </w:r>
      <w:r w:rsidR="007773BB" w:rsidRPr="000C234A">
        <w:rPr>
          <w:rFonts w:cs="Arial"/>
        </w:rPr>
        <w:t xml:space="preserve"> mimo okruh operátorů elektronických komunikací</w:t>
      </w:r>
      <w:r w:rsidR="00203C6E" w:rsidRPr="000C234A">
        <w:rPr>
          <w:rFonts w:cs="Arial"/>
        </w:rPr>
        <w:t xml:space="preserve"> může zohlednit např. nosnost či jiný vhodný</w:t>
      </w:r>
      <w:r w:rsidR="007773BB" w:rsidRPr="000C234A">
        <w:rPr>
          <w:rFonts w:cs="Arial"/>
        </w:rPr>
        <w:t xml:space="preserve"> technický</w:t>
      </w:r>
      <w:r w:rsidR="00203C6E" w:rsidRPr="000C234A">
        <w:rPr>
          <w:rFonts w:cs="Arial"/>
        </w:rPr>
        <w:t xml:space="preserve"> parametr u sloupu/stožáru.</w:t>
      </w:r>
      <w:r w:rsidR="007773BB" w:rsidRPr="000C234A">
        <w:rPr>
          <w:rFonts w:cs="Arial"/>
        </w:rPr>
        <w:t xml:space="preserve"> Pro povinné osoby z řad operátorů elektronických komunikací pak platí, že koeficient sdílení zohledňuje pouze aktuálně využívanou kapacitu prvku všemi operátory, nabízejícími služby elektronických komunikací, nikoliv tedy celou kapacitu daného stožáru/sloupu (daného např. nosností).</w:t>
      </w:r>
    </w:p>
    <w:p w14:paraId="144EDB9A" w14:textId="7A68C6E1" w:rsidR="00697B2B" w:rsidRPr="00B300B4" w:rsidRDefault="00850D42" w:rsidP="000C234A">
      <w:pPr>
        <w:pStyle w:val="Vvojcen-zkladntext"/>
      </w:pPr>
      <w:r w:rsidRPr="000C234A">
        <w:rPr>
          <w:rFonts w:cs="Arial"/>
        </w:rPr>
        <w:t xml:space="preserve">K měsíční ceně pronájmu tohoto prvku fyzické infrastruktury lze následně přičíst ještě náklady na inkrementální dovybavení fyzické infrastruktury včetně montáže, např. o výložníky, konzole, svody na zem apod., pokud se dotčené osoby dohodnou, že tyto dodatečně vyvolané výdaje z důvodu sdílení se sítěmi elektronických komunikací nebudou oprávněnou osobou žádající o přístup uhrazeny již v rámci jednorázového vyrovnání. </w:t>
      </w:r>
      <w:r w:rsidR="00FB65DB" w:rsidRPr="000C234A">
        <w:rPr>
          <w:rFonts w:cs="Arial"/>
        </w:rPr>
        <w:t xml:space="preserve">Pro výpočet měsíční ceny těchto dodatečných výdajů se již nevyužije výše uvedený koeficient sdílení, neboť </w:t>
      </w:r>
      <w:r w:rsidR="00FB65DB" w:rsidRPr="00B05191">
        <w:rPr>
          <w:rFonts w:cs="Arial"/>
        </w:rPr>
        <w:t>tyto dodatečně vyvolané náklady musí být oprávněnou osobou hrazeny v plné výši (ze 100 %), nikoliv jen z části, určené koeficientem využití.</w:t>
      </w:r>
      <w:r w:rsidR="009A5ED9" w:rsidRPr="000C234A">
        <w:rPr>
          <w:rFonts w:cs="Arial"/>
        </w:rPr>
        <w:t xml:space="preserve"> Roční kapitálová platba (C) se stanoví výpočtem podle vzorce v kapitole 2.1.</w:t>
      </w:r>
    </w:p>
    <w:p w14:paraId="304B60FD" w14:textId="77777777" w:rsidR="00097988" w:rsidRPr="00975ACC" w:rsidRDefault="00097988" w:rsidP="00F67923">
      <w:pPr>
        <w:pStyle w:val="Vvojcen-nadpis3"/>
      </w:pPr>
      <w:bookmarkStart w:id="48" w:name="_Toc496446433"/>
      <w:bookmarkStart w:id="49" w:name="_Toc496518787"/>
      <w:r w:rsidRPr="00975ACC">
        <w:t>Kabelovody</w:t>
      </w:r>
      <w:bookmarkEnd w:id="48"/>
      <w:bookmarkEnd w:id="49"/>
    </w:p>
    <w:p w14:paraId="56D48CAC" w14:textId="77777777" w:rsidR="00001A50" w:rsidRPr="00BF6EEA" w:rsidRDefault="00FF5484" w:rsidP="00F67923">
      <w:pPr>
        <w:pStyle w:val="Vvojcen-zkladntext"/>
        <w:rPr>
          <w:rFonts w:cs="Arial"/>
          <w:b/>
          <w:sz w:val="28"/>
          <w:szCs w:val="28"/>
          <w:vertAlign w:val="superscript"/>
        </w:rPr>
      </w:pPr>
      <w:r w:rsidRPr="00975ACC">
        <w:rPr>
          <w:rFonts w:cs="Arial"/>
        </w:rPr>
        <w:t xml:space="preserve">Kabelovody představují pasivní prvek fyzické sítě vyznačující se velmi dlouhou životností a </w:t>
      </w:r>
      <w:r w:rsidR="00287EEE" w:rsidRPr="00975ACC">
        <w:rPr>
          <w:rFonts w:cs="Arial"/>
        </w:rPr>
        <w:t xml:space="preserve">náklady </w:t>
      </w:r>
      <w:r w:rsidR="00287EEE" w:rsidRPr="00B05191">
        <w:rPr>
          <w:rFonts w:cs="Arial"/>
        </w:rPr>
        <w:t xml:space="preserve">na </w:t>
      </w:r>
      <w:r w:rsidR="00CE4418" w:rsidRPr="00B05191">
        <w:rPr>
          <w:rFonts w:cs="Arial"/>
        </w:rPr>
        <w:t xml:space="preserve">jeho pořízení </w:t>
      </w:r>
      <w:r w:rsidRPr="00B300B4">
        <w:rPr>
          <w:rFonts w:cs="Arial"/>
        </w:rPr>
        <w:t xml:space="preserve">také </w:t>
      </w:r>
      <w:r w:rsidR="00287EEE" w:rsidRPr="00B300B4">
        <w:rPr>
          <w:rFonts w:cs="Arial"/>
        </w:rPr>
        <w:t xml:space="preserve">zpravidla </w:t>
      </w:r>
      <w:r w:rsidR="00CE4418" w:rsidRPr="00B300B4">
        <w:rPr>
          <w:rFonts w:cs="Arial"/>
        </w:rPr>
        <w:t xml:space="preserve">odrážejí více či méně individuální </w:t>
      </w:r>
      <w:r w:rsidRPr="00CA4021">
        <w:rPr>
          <w:rFonts w:cs="Arial"/>
        </w:rPr>
        <w:t>podmínk</w:t>
      </w:r>
      <w:r w:rsidR="00CE4418" w:rsidRPr="00CA4021">
        <w:rPr>
          <w:rFonts w:cs="Arial"/>
        </w:rPr>
        <w:t xml:space="preserve">y </w:t>
      </w:r>
      <w:r w:rsidRPr="00CA4021">
        <w:rPr>
          <w:rFonts w:cs="Arial"/>
        </w:rPr>
        <w:t>výstavby</w:t>
      </w:r>
      <w:r w:rsidR="00CE4418" w:rsidRPr="00CA4021">
        <w:rPr>
          <w:rFonts w:cs="Arial"/>
        </w:rPr>
        <w:t>. Všechna tato specifika</w:t>
      </w:r>
      <w:r w:rsidRPr="00CA4021">
        <w:rPr>
          <w:rFonts w:cs="Arial"/>
        </w:rPr>
        <w:t xml:space="preserve"> naléz</w:t>
      </w:r>
      <w:r w:rsidR="00CE4418" w:rsidRPr="00CA4021">
        <w:rPr>
          <w:rFonts w:cs="Arial"/>
        </w:rPr>
        <w:t>ají</w:t>
      </w:r>
      <w:r w:rsidRPr="00CA4021">
        <w:rPr>
          <w:rFonts w:cs="Arial"/>
        </w:rPr>
        <w:t xml:space="preserve"> svůj odraz v pořizovací ceně aktiva. Je proto takřka nemožné definovat </w:t>
      </w:r>
      <w:r w:rsidR="005211EA" w:rsidRPr="00A533AC">
        <w:rPr>
          <w:rFonts w:cs="Arial"/>
        </w:rPr>
        <w:t xml:space="preserve">ex ante </w:t>
      </w:r>
      <w:r w:rsidRPr="00A533AC">
        <w:rPr>
          <w:rFonts w:cs="Arial"/>
        </w:rPr>
        <w:t xml:space="preserve">optimální </w:t>
      </w:r>
      <w:r w:rsidR="009B7D22" w:rsidRPr="009B2DD6">
        <w:rPr>
          <w:rFonts w:cs="Arial"/>
        </w:rPr>
        <w:t xml:space="preserve">a sjednocující </w:t>
      </w:r>
      <w:r w:rsidR="00853FF1" w:rsidRPr="009B2DD6">
        <w:rPr>
          <w:rFonts w:cs="Arial"/>
        </w:rPr>
        <w:t xml:space="preserve">výši ceny, která by reflektovala </w:t>
      </w:r>
      <w:r w:rsidR="00853FF1" w:rsidRPr="00AF28AB">
        <w:rPr>
          <w:rFonts w:cs="Arial"/>
        </w:rPr>
        <w:t>většinov</w:t>
      </w:r>
      <w:r w:rsidR="00CE4418" w:rsidRPr="00AF28AB">
        <w:rPr>
          <w:rFonts w:cs="Arial"/>
        </w:rPr>
        <w:t>é</w:t>
      </w:r>
      <w:r w:rsidR="00853FF1" w:rsidRPr="00AF28AB">
        <w:rPr>
          <w:rFonts w:cs="Arial"/>
        </w:rPr>
        <w:t xml:space="preserve"> </w:t>
      </w:r>
      <w:r w:rsidR="00CE4418" w:rsidRPr="008A1875">
        <w:rPr>
          <w:rFonts w:cs="Arial"/>
        </w:rPr>
        <w:t>průměrné podmínky</w:t>
      </w:r>
      <w:r w:rsidR="00853FF1" w:rsidRPr="008A1875">
        <w:rPr>
          <w:rFonts w:cs="Arial"/>
        </w:rPr>
        <w:t xml:space="preserve">. </w:t>
      </w:r>
      <w:r w:rsidR="00CE4418" w:rsidRPr="008A1875">
        <w:rPr>
          <w:rFonts w:cs="Arial"/>
        </w:rPr>
        <w:t xml:space="preserve">Kalkulace </w:t>
      </w:r>
      <w:r w:rsidR="005211EA" w:rsidRPr="008A1875">
        <w:rPr>
          <w:rFonts w:cs="Arial"/>
        </w:rPr>
        <w:t>cen</w:t>
      </w:r>
      <w:r w:rsidR="00CE4418" w:rsidRPr="008A1875">
        <w:rPr>
          <w:rFonts w:cs="Arial"/>
        </w:rPr>
        <w:t>y</w:t>
      </w:r>
      <w:r w:rsidR="00A425DA" w:rsidRPr="008A1875">
        <w:rPr>
          <w:rFonts w:cs="Arial"/>
        </w:rPr>
        <w:t xml:space="preserve"> pronájmu otvoru v</w:t>
      </w:r>
      <w:r w:rsidR="005211EA" w:rsidRPr="008A1875">
        <w:rPr>
          <w:rFonts w:cs="Arial"/>
        </w:rPr>
        <w:t xml:space="preserve"> kabelovodu </w:t>
      </w:r>
      <w:r w:rsidR="00CE4418" w:rsidRPr="008A1875">
        <w:rPr>
          <w:rFonts w:cs="Arial"/>
        </w:rPr>
        <w:t>bud</w:t>
      </w:r>
      <w:r w:rsidR="005211EA" w:rsidRPr="008A1875">
        <w:rPr>
          <w:rFonts w:cs="Arial"/>
        </w:rPr>
        <w:t>e</w:t>
      </w:r>
      <w:r w:rsidR="00853FF1" w:rsidRPr="008A1875">
        <w:rPr>
          <w:rFonts w:cs="Arial"/>
        </w:rPr>
        <w:t xml:space="preserve"> </w:t>
      </w:r>
      <w:r w:rsidR="00287EEE" w:rsidRPr="00BF6EEA">
        <w:rPr>
          <w:rFonts w:cs="Arial"/>
        </w:rPr>
        <w:t>následující.</w:t>
      </w:r>
    </w:p>
    <w:p w14:paraId="33257641" w14:textId="77777777" w:rsidR="00001A50" w:rsidRPr="00BF6EEA" w:rsidRDefault="009B7D22" w:rsidP="00F67923">
      <w:pPr>
        <w:pStyle w:val="Vvojcen-zkladntext"/>
        <w:rPr>
          <w:rFonts w:cs="Arial"/>
        </w:rPr>
      </w:pPr>
      <w:r w:rsidRPr="00BF6EEA">
        <w:rPr>
          <w:rFonts w:cs="Arial"/>
        </w:rPr>
        <w:t>Pořizovací n</w:t>
      </w:r>
      <w:r w:rsidR="00001A50" w:rsidRPr="00BF6EEA">
        <w:rPr>
          <w:rFonts w:cs="Arial"/>
        </w:rPr>
        <w:t>áklady na 1 metr otvoru v kabelovodu</w:t>
      </w:r>
      <w:r w:rsidR="00A425DA" w:rsidRPr="00BF6EEA">
        <w:rPr>
          <w:rFonts w:cs="Arial"/>
        </w:rPr>
        <w:t>:</w:t>
      </w:r>
    </w:p>
    <w:p w14:paraId="3F36784D" w14:textId="77777777" w:rsidR="009A5ED9" w:rsidRPr="000C234A" w:rsidRDefault="001C3993" w:rsidP="000C234A">
      <w:pPr>
        <w:pStyle w:val="Vvojcen-zkladntext"/>
        <w:pBdr>
          <w:top w:val="single" w:sz="4" w:space="1" w:color="auto"/>
          <w:left w:val="single" w:sz="4" w:space="4" w:color="auto"/>
          <w:bottom w:val="single" w:sz="4" w:space="1" w:color="auto"/>
          <w:right w:val="single" w:sz="4" w:space="4" w:color="auto"/>
        </w:pBdr>
        <w:rPr>
          <w:rFonts w:cs="Arial"/>
          <w:b/>
          <w:sz w:val="24"/>
          <w:szCs w:val="24"/>
        </w:rPr>
      </w:pPr>
      <m:oMathPara>
        <m:oMath>
          <m:r>
            <m:rPr>
              <m:sty m:val="bi"/>
            </m:rPr>
            <w:rPr>
              <w:rFonts w:ascii="Cambria Math" w:hAnsi="Cambria Math" w:cs="Arial"/>
              <w:sz w:val="24"/>
              <w:szCs w:val="24"/>
            </w:rPr>
            <m:t>M</m:t>
          </m:r>
          <m:r>
            <m:rPr>
              <m:sty m:val="bi"/>
            </m:rPr>
            <w:rPr>
              <w:rFonts w:ascii="Cambria Math" w:hAnsi="Cambria Math" w:cs="Arial" w:hint="eastAsia"/>
              <w:sz w:val="24"/>
              <w:szCs w:val="24"/>
            </w:rPr>
            <m:t>ě</m:t>
          </m:r>
          <m:r>
            <m:rPr>
              <m:sty m:val="bi"/>
            </m:rPr>
            <w:rPr>
              <w:rFonts w:ascii="Cambria Math" w:hAnsi="Cambria Math" w:cs="Arial"/>
              <w:sz w:val="24"/>
              <w:szCs w:val="24"/>
            </w:rPr>
            <m:t>s</m:t>
          </m:r>
          <m:r>
            <m:rPr>
              <m:sty m:val="bi"/>
            </m:rPr>
            <w:rPr>
              <w:rFonts w:ascii="Cambria Math" w:hAnsi="Cambria Math" w:cs="Arial" w:hint="eastAsia"/>
              <w:sz w:val="24"/>
              <w:szCs w:val="24"/>
            </w:rPr>
            <m:t>íč</m:t>
          </m:r>
          <m:r>
            <m:rPr>
              <m:sty m:val="bi"/>
            </m:rPr>
            <w:rPr>
              <w:rFonts w:ascii="Cambria Math" w:hAnsi="Cambria Math" w:cs="Arial"/>
              <w:sz w:val="24"/>
              <w:szCs w:val="24"/>
            </w:rPr>
            <m:t>n</m:t>
          </m:r>
          <m:r>
            <m:rPr>
              <m:sty m:val="bi"/>
            </m:rPr>
            <w:rPr>
              <w:rFonts w:ascii="Cambria Math" w:hAnsi="Cambria Math" w:cs="Arial" w:hint="eastAsia"/>
              <w:sz w:val="24"/>
              <w:szCs w:val="24"/>
            </w:rPr>
            <m:t>í</m:t>
          </m:r>
          <m:r>
            <m:rPr>
              <m:sty m:val="bi"/>
            </m:rPr>
            <w:rPr>
              <w:rFonts w:ascii="Cambria Math" w:hAnsi="Cambria Math" w:cs="Arial"/>
              <w:sz w:val="24"/>
              <w:szCs w:val="24"/>
            </w:rPr>
            <m:t xml:space="preserve"> pron</m:t>
          </m:r>
          <m:r>
            <m:rPr>
              <m:sty m:val="bi"/>
            </m:rPr>
            <w:rPr>
              <w:rFonts w:ascii="Cambria Math" w:hAnsi="Cambria Math" w:cs="Arial" w:hint="eastAsia"/>
              <w:sz w:val="24"/>
              <w:szCs w:val="24"/>
            </w:rPr>
            <m:t>á</m:t>
          </m:r>
          <m:r>
            <m:rPr>
              <m:sty m:val="bi"/>
            </m:rPr>
            <w:rPr>
              <w:rFonts w:ascii="Cambria Math" w:hAnsi="Cambria Math" w:cs="Arial"/>
              <w:sz w:val="24"/>
              <w:szCs w:val="24"/>
            </w:rPr>
            <m:t>jem 1 metru otvoru v kabelovodu=</m:t>
          </m:r>
          <m:f>
            <m:fPr>
              <m:ctrlPr>
                <w:rPr>
                  <w:rFonts w:ascii="Cambria Math" w:hAnsi="Cambria Math" w:cs="Arial"/>
                  <w:b/>
                  <w:i/>
                  <w:sz w:val="24"/>
                  <w:szCs w:val="24"/>
                </w:rPr>
              </m:ctrlPr>
            </m:fPr>
            <m:num>
              <m:r>
                <m:rPr>
                  <m:sty m:val="bi"/>
                </m:rPr>
                <w:rPr>
                  <w:rFonts w:ascii="Cambria Math" w:hAnsi="Cambria Math" w:cs="Arial"/>
                  <w:sz w:val="24"/>
                  <w:szCs w:val="24"/>
                </w:rPr>
                <m:t>C</m:t>
              </m:r>
            </m:num>
            <m:den>
              <m:r>
                <m:rPr>
                  <m:sty m:val="bi"/>
                </m:rPr>
                <w:rPr>
                  <w:rFonts w:ascii="Cambria Math" w:hAnsi="Cambria Math" w:cs="Arial"/>
                  <w:sz w:val="24"/>
                  <w:szCs w:val="24"/>
                </w:rPr>
                <m:t>12</m:t>
              </m:r>
            </m:den>
          </m:f>
          <m:r>
            <m:rPr>
              <m:sty m:val="bi"/>
            </m:rPr>
            <w:rPr>
              <w:rFonts w:ascii="Cambria Math" w:hAnsi="Cambria Math" w:cs="Arial" w:hint="eastAsia"/>
              <w:sz w:val="24"/>
              <w:szCs w:val="24"/>
            </w:rPr>
            <m:t>×</m:t>
          </m:r>
          <m:r>
            <m:rPr>
              <m:sty m:val="bi"/>
            </m:rPr>
            <w:rPr>
              <w:rFonts w:ascii="Cambria Math" w:hAnsi="Cambria Math" w:cs="Arial"/>
              <w:sz w:val="24"/>
              <w:szCs w:val="24"/>
            </w:rPr>
            <m:t>Koeficient sd</m:t>
          </m:r>
          <m:r>
            <m:rPr>
              <m:sty m:val="bi"/>
            </m:rPr>
            <w:rPr>
              <w:rFonts w:ascii="Cambria Math" w:hAnsi="Cambria Math" w:cs="Arial" w:hint="eastAsia"/>
              <w:sz w:val="24"/>
              <w:szCs w:val="24"/>
            </w:rPr>
            <m:t>í</m:t>
          </m:r>
          <m:r>
            <m:rPr>
              <m:sty m:val="bi"/>
            </m:rPr>
            <w:rPr>
              <w:rFonts w:ascii="Cambria Math" w:hAnsi="Cambria Math" w:cs="Arial"/>
              <w:sz w:val="24"/>
              <w:szCs w:val="24"/>
            </w:rPr>
            <m:t>lení</m:t>
          </m:r>
        </m:oMath>
      </m:oMathPara>
    </w:p>
    <w:p w14:paraId="27B1EFE6" w14:textId="77777777" w:rsidR="009A5ED9" w:rsidRPr="000C234A" w:rsidRDefault="009A5ED9" w:rsidP="009A5ED9">
      <w:pPr>
        <w:pStyle w:val="Vvojcen-zkladntext"/>
        <w:ind w:firstLine="0"/>
        <w:rPr>
          <w:rFonts w:cs="Arial"/>
        </w:rPr>
      </w:pPr>
      <w:r w:rsidRPr="000C234A">
        <w:rPr>
          <w:rFonts w:cs="Arial"/>
        </w:rPr>
        <w:t>kde</w:t>
      </w:r>
    </w:p>
    <w:p w14:paraId="704D20CB" w14:textId="77777777" w:rsidR="009A5ED9" w:rsidRPr="000C234A" w:rsidRDefault="009A5ED9" w:rsidP="00712B46">
      <w:pPr>
        <w:tabs>
          <w:tab w:val="left" w:pos="2127"/>
        </w:tabs>
        <w:overflowPunct/>
        <w:textAlignment w:val="auto"/>
        <w:rPr>
          <w:rFonts w:ascii="Arial" w:eastAsiaTheme="minorHAnsi" w:hAnsi="Arial" w:cs="Arial"/>
          <w:i/>
          <w:color w:val="000000"/>
          <w:lang w:eastAsia="en-US"/>
        </w:rPr>
      </w:pPr>
      <w:r w:rsidRPr="000C234A">
        <w:rPr>
          <w:rFonts w:ascii="Arial" w:eastAsiaTheme="minorHAnsi" w:hAnsi="Arial" w:cs="Arial"/>
          <w:i/>
          <w:color w:val="000000"/>
          <w:lang w:eastAsia="en-US"/>
        </w:rPr>
        <w:t xml:space="preserve">C </w:t>
      </w:r>
      <w:r w:rsidRPr="000C234A">
        <w:rPr>
          <w:rFonts w:ascii="Arial" w:eastAsiaTheme="minorHAnsi" w:hAnsi="Arial" w:cs="Arial"/>
          <w:i/>
          <w:color w:val="000000"/>
          <w:lang w:eastAsia="en-US"/>
        </w:rPr>
        <w:tab/>
        <w:t xml:space="preserve">roční kapitálová platba za 1 metr otvoru v kabelovodu v Kč, </w:t>
      </w:r>
    </w:p>
    <w:p w14:paraId="59F00E92" w14:textId="77777777" w:rsidR="009A5ED9" w:rsidRPr="000C234A" w:rsidRDefault="009A5ED9" w:rsidP="000C234A">
      <w:pPr>
        <w:pStyle w:val="Vvojcen-zkladntext"/>
        <w:spacing w:before="0" w:after="0"/>
        <w:ind w:firstLine="0"/>
        <w:rPr>
          <w:rFonts w:eastAsiaTheme="minorHAnsi" w:cs="Arial"/>
          <w:i/>
          <w:color w:val="000000"/>
          <w:sz w:val="20"/>
          <w:szCs w:val="20"/>
          <w:lang w:eastAsia="en-US"/>
        </w:rPr>
      </w:pPr>
      <w:r w:rsidRPr="000C234A">
        <w:rPr>
          <w:rFonts w:eastAsiaTheme="minorHAnsi" w:cs="Arial"/>
          <w:i/>
          <w:color w:val="000000"/>
          <w:sz w:val="20"/>
          <w:szCs w:val="20"/>
          <w:lang w:eastAsia="en-US"/>
        </w:rPr>
        <w:t xml:space="preserve">Koeficient sdílení </w:t>
      </w:r>
      <w:r w:rsidRPr="000C234A">
        <w:rPr>
          <w:rFonts w:eastAsiaTheme="minorHAnsi" w:cs="Arial"/>
          <w:i/>
          <w:color w:val="000000"/>
          <w:sz w:val="20"/>
          <w:szCs w:val="20"/>
          <w:lang w:eastAsia="en-US"/>
        </w:rPr>
        <w:tab/>
        <w:t>využití prvku oprávněnou osobou v %</w:t>
      </w:r>
      <w:r w:rsidR="009E38C7" w:rsidRPr="000C234A">
        <w:rPr>
          <w:rFonts w:eastAsiaTheme="minorHAnsi" w:cs="Arial"/>
          <w:i/>
          <w:color w:val="000000"/>
          <w:sz w:val="20"/>
          <w:szCs w:val="20"/>
          <w:lang w:eastAsia="en-US"/>
        </w:rPr>
        <w:t>.</w:t>
      </w:r>
    </w:p>
    <w:p w14:paraId="696BD692" w14:textId="77777777" w:rsidR="009A5ED9" w:rsidRPr="00B300B4" w:rsidRDefault="009A5ED9" w:rsidP="009A5ED9">
      <w:pPr>
        <w:pStyle w:val="Vvojcen-zkladntext"/>
        <w:rPr>
          <w:rFonts w:cs="Arial"/>
        </w:rPr>
      </w:pPr>
      <w:r w:rsidRPr="00B05191">
        <w:rPr>
          <w:rFonts w:cs="Arial"/>
        </w:rPr>
        <w:t xml:space="preserve">V ceně kabelovodu by oprávněná osoba měla hradit i příslušnou část výkopu, ve kterém je kabelovod uložen. </w:t>
      </w:r>
      <w:r w:rsidRPr="00B300B4">
        <w:rPr>
          <w:rFonts w:cs="Arial"/>
        </w:rPr>
        <w:t>Pořizovací náklady na 1 metr výkopu pro uložení kabelovodu:</w:t>
      </w:r>
    </w:p>
    <w:p w14:paraId="69138F94" w14:textId="77777777" w:rsidR="009A5ED9" w:rsidRPr="000C234A" w:rsidRDefault="001C3993" w:rsidP="000C234A">
      <w:pPr>
        <w:pStyle w:val="Vvojcen-zkladntext"/>
        <w:pBdr>
          <w:top w:val="single" w:sz="4" w:space="1" w:color="auto"/>
          <w:left w:val="single" w:sz="4" w:space="4" w:color="auto"/>
          <w:bottom w:val="single" w:sz="4" w:space="1" w:color="auto"/>
          <w:right w:val="single" w:sz="4" w:space="4" w:color="auto"/>
        </w:pBdr>
        <w:rPr>
          <w:rFonts w:cs="Arial"/>
          <w:b/>
          <w:sz w:val="24"/>
          <w:szCs w:val="24"/>
        </w:rPr>
      </w:pPr>
      <m:oMathPara>
        <m:oMath>
          <m:r>
            <m:rPr>
              <m:sty m:val="bi"/>
            </m:rPr>
            <w:rPr>
              <w:rFonts w:ascii="Cambria Math" w:hAnsi="Cambria Math" w:cs="Arial"/>
              <w:sz w:val="24"/>
              <w:szCs w:val="24"/>
            </w:rPr>
            <m:t>M</m:t>
          </m:r>
          <m:r>
            <m:rPr>
              <m:sty m:val="bi"/>
            </m:rPr>
            <w:rPr>
              <w:rFonts w:ascii="Cambria Math" w:hAnsi="Cambria Math" w:cs="Arial" w:hint="eastAsia"/>
              <w:sz w:val="24"/>
              <w:szCs w:val="24"/>
            </w:rPr>
            <m:t>ě</m:t>
          </m:r>
          <m:r>
            <m:rPr>
              <m:sty m:val="bi"/>
            </m:rPr>
            <w:rPr>
              <w:rFonts w:ascii="Cambria Math" w:hAnsi="Cambria Math" w:cs="Arial"/>
              <w:sz w:val="24"/>
              <w:szCs w:val="24"/>
            </w:rPr>
            <m:t>s</m:t>
          </m:r>
          <m:r>
            <m:rPr>
              <m:sty m:val="bi"/>
            </m:rPr>
            <w:rPr>
              <w:rFonts w:ascii="Cambria Math" w:hAnsi="Cambria Math" w:cs="Arial" w:hint="eastAsia"/>
              <w:sz w:val="24"/>
              <w:szCs w:val="24"/>
            </w:rPr>
            <m:t>íč</m:t>
          </m:r>
          <m:r>
            <m:rPr>
              <m:sty m:val="bi"/>
            </m:rPr>
            <w:rPr>
              <w:rFonts w:ascii="Cambria Math" w:hAnsi="Cambria Math" w:cs="Arial"/>
              <w:sz w:val="24"/>
              <w:szCs w:val="24"/>
            </w:rPr>
            <m:t>n</m:t>
          </m:r>
          <m:r>
            <m:rPr>
              <m:sty m:val="bi"/>
            </m:rPr>
            <w:rPr>
              <w:rFonts w:ascii="Cambria Math" w:hAnsi="Cambria Math" w:cs="Arial" w:hint="eastAsia"/>
              <w:sz w:val="24"/>
              <w:szCs w:val="24"/>
            </w:rPr>
            <m:t>í</m:t>
          </m:r>
          <m:r>
            <m:rPr>
              <m:sty m:val="bi"/>
            </m:rPr>
            <w:rPr>
              <w:rFonts w:ascii="Cambria Math" w:hAnsi="Cambria Math" w:cs="Arial"/>
              <w:sz w:val="24"/>
              <w:szCs w:val="24"/>
            </w:rPr>
            <m:t xml:space="preserve"> pron</m:t>
          </m:r>
          <m:r>
            <m:rPr>
              <m:sty m:val="bi"/>
            </m:rPr>
            <w:rPr>
              <w:rFonts w:ascii="Cambria Math" w:hAnsi="Cambria Math" w:cs="Arial" w:hint="eastAsia"/>
              <w:sz w:val="24"/>
              <w:szCs w:val="24"/>
            </w:rPr>
            <m:t>á</m:t>
          </m:r>
          <m:r>
            <m:rPr>
              <m:sty m:val="bi"/>
            </m:rPr>
            <w:rPr>
              <w:rFonts w:ascii="Cambria Math" w:hAnsi="Cambria Math" w:cs="Arial"/>
              <w:sz w:val="24"/>
              <w:szCs w:val="24"/>
            </w:rPr>
            <m:t>jem výkopu pro uložení kabelovodu=</m:t>
          </m:r>
          <m:f>
            <m:fPr>
              <m:ctrlPr>
                <w:rPr>
                  <w:rFonts w:ascii="Cambria Math" w:hAnsi="Cambria Math" w:cs="Arial"/>
                  <w:b/>
                  <w:i/>
                  <w:sz w:val="24"/>
                  <w:szCs w:val="24"/>
                </w:rPr>
              </m:ctrlPr>
            </m:fPr>
            <m:num>
              <m:r>
                <m:rPr>
                  <m:sty m:val="bi"/>
                </m:rPr>
                <w:rPr>
                  <w:rFonts w:ascii="Cambria Math" w:hAnsi="Cambria Math" w:cs="Arial"/>
                  <w:sz w:val="24"/>
                  <w:szCs w:val="24"/>
                </w:rPr>
                <m:t>C</m:t>
              </m:r>
            </m:num>
            <m:den>
              <m:r>
                <m:rPr>
                  <m:sty m:val="bi"/>
                </m:rPr>
                <w:rPr>
                  <w:rFonts w:ascii="Cambria Math" w:hAnsi="Cambria Math" w:cs="Arial"/>
                  <w:sz w:val="24"/>
                  <w:szCs w:val="24"/>
                </w:rPr>
                <m:t>12</m:t>
              </m:r>
            </m:den>
          </m:f>
          <m:r>
            <m:rPr>
              <m:sty m:val="bi"/>
            </m:rPr>
            <w:rPr>
              <w:rFonts w:ascii="Cambria Math" w:hAnsi="Cambria Math" w:cs="Arial"/>
              <w:sz w:val="24"/>
              <w:szCs w:val="24"/>
            </w:rPr>
            <m:t>×Koeficient sdílení</m:t>
          </m:r>
        </m:oMath>
      </m:oMathPara>
    </w:p>
    <w:p w14:paraId="2E781A3A" w14:textId="77777777" w:rsidR="009A5ED9" w:rsidRPr="000C234A" w:rsidRDefault="009A5ED9" w:rsidP="009A5ED9">
      <w:pPr>
        <w:pStyle w:val="Vvojcen-zkladntext"/>
        <w:ind w:firstLine="0"/>
        <w:rPr>
          <w:rFonts w:cs="Arial"/>
        </w:rPr>
      </w:pPr>
      <w:r w:rsidRPr="000C234A">
        <w:rPr>
          <w:rFonts w:cs="Arial"/>
        </w:rPr>
        <w:t>kde</w:t>
      </w:r>
    </w:p>
    <w:p w14:paraId="5092E767" w14:textId="77777777" w:rsidR="009A5ED9" w:rsidRPr="000C234A" w:rsidRDefault="009A5ED9" w:rsidP="00712B46">
      <w:pPr>
        <w:tabs>
          <w:tab w:val="left" w:pos="2127"/>
        </w:tabs>
        <w:overflowPunct/>
        <w:textAlignment w:val="auto"/>
        <w:rPr>
          <w:rFonts w:ascii="Arial" w:eastAsiaTheme="minorHAnsi" w:hAnsi="Arial" w:cs="Arial"/>
          <w:i/>
          <w:color w:val="000000"/>
          <w:lang w:eastAsia="en-US"/>
        </w:rPr>
      </w:pPr>
      <w:r w:rsidRPr="000C234A">
        <w:rPr>
          <w:rFonts w:ascii="Arial" w:eastAsiaTheme="minorHAnsi" w:hAnsi="Arial" w:cs="Arial"/>
          <w:i/>
          <w:color w:val="000000"/>
          <w:lang w:eastAsia="en-US"/>
        </w:rPr>
        <w:t xml:space="preserve">C </w:t>
      </w:r>
      <w:r w:rsidRPr="000C234A">
        <w:rPr>
          <w:rFonts w:ascii="Arial" w:eastAsiaTheme="minorHAnsi" w:hAnsi="Arial" w:cs="Arial"/>
          <w:i/>
          <w:color w:val="000000"/>
          <w:lang w:eastAsia="en-US"/>
        </w:rPr>
        <w:tab/>
        <w:t xml:space="preserve">roční kapitálová platba za 1 metr výkopu pro uložení kabelovodu v Kč, </w:t>
      </w:r>
    </w:p>
    <w:p w14:paraId="2EC44D6F" w14:textId="77777777" w:rsidR="009A5ED9" w:rsidRPr="000C234A" w:rsidRDefault="009A5ED9" w:rsidP="000C234A">
      <w:pPr>
        <w:pStyle w:val="Vvojcen-zkladntext"/>
        <w:spacing w:before="0" w:after="0"/>
        <w:ind w:firstLine="0"/>
        <w:rPr>
          <w:rFonts w:cs="Arial"/>
          <w:color w:val="000000" w:themeColor="text1"/>
          <w:sz w:val="20"/>
          <w:szCs w:val="20"/>
        </w:rPr>
      </w:pPr>
      <w:r w:rsidRPr="000C234A">
        <w:rPr>
          <w:rFonts w:eastAsiaTheme="minorHAnsi" w:cs="Arial"/>
          <w:i/>
          <w:color w:val="000000"/>
          <w:sz w:val="20"/>
          <w:szCs w:val="20"/>
          <w:lang w:eastAsia="en-US"/>
        </w:rPr>
        <w:t xml:space="preserve">Koeficient sdílení </w:t>
      </w:r>
      <w:r w:rsidRPr="000C234A">
        <w:rPr>
          <w:rFonts w:eastAsiaTheme="minorHAnsi" w:cs="Arial"/>
          <w:i/>
          <w:color w:val="000000"/>
          <w:sz w:val="20"/>
          <w:szCs w:val="20"/>
          <w:lang w:eastAsia="en-US"/>
        </w:rPr>
        <w:tab/>
        <w:t>využití prvku oprávněnou osobou v %.</w:t>
      </w:r>
    </w:p>
    <w:p w14:paraId="3BDB6E32" w14:textId="77777777" w:rsidR="009A5ED9" w:rsidRPr="00975ACC" w:rsidRDefault="009A5ED9" w:rsidP="009A5ED9">
      <w:pPr>
        <w:pStyle w:val="Vvojcen-zkladntext"/>
        <w:rPr>
          <w:rFonts w:cs="Arial"/>
          <w:color w:val="000000" w:themeColor="text1"/>
          <w:szCs w:val="24"/>
        </w:rPr>
      </w:pPr>
      <w:r w:rsidRPr="00975ACC">
        <w:rPr>
          <w:rFonts w:cs="Arial"/>
        </w:rPr>
        <w:t xml:space="preserve">Vzhledem k tomu, že cena výkopů se může lišit podle typu zástavby, je možné průměrnou cenu výkopu modifikovat podle procenta zastoupení jednotlivých zón, případně při souběhu více typů zón je možné stanovit cenu jako vážený průměr. </w:t>
      </w:r>
    </w:p>
    <w:p w14:paraId="6C1F49F4" w14:textId="77777777" w:rsidR="009A5ED9" w:rsidRPr="000C234A" w:rsidRDefault="009A5ED9" w:rsidP="000C234A">
      <w:pPr>
        <w:overflowPunct/>
        <w:autoSpaceDE/>
        <w:autoSpaceDN/>
        <w:adjustRightInd/>
        <w:spacing w:before="120" w:after="120"/>
        <w:jc w:val="both"/>
        <w:textAlignment w:val="auto"/>
        <w:rPr>
          <w:rFonts w:cs="Arial"/>
          <w:color w:val="000000" w:themeColor="text1"/>
          <w:sz w:val="24"/>
          <w:szCs w:val="24"/>
        </w:rPr>
      </w:pPr>
      <w:r w:rsidRPr="000C234A">
        <w:rPr>
          <w:rFonts w:ascii="Arial" w:hAnsi="Arial" w:cs="Arial"/>
          <w:noProof/>
        </w:rPr>
        <w:lastRenderedPageBreak/>
        <w:drawing>
          <wp:inline distT="0" distB="0" distL="0" distR="0" wp14:anchorId="32A658EB" wp14:editId="32AE09BC">
            <wp:extent cx="5762625" cy="1359535"/>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4206" cy="1359908"/>
                    </a:xfrm>
                    <a:prstGeom prst="rect">
                      <a:avLst/>
                    </a:prstGeom>
                    <a:noFill/>
                    <a:ln>
                      <a:noFill/>
                    </a:ln>
                  </pic:spPr>
                </pic:pic>
              </a:graphicData>
            </a:graphic>
          </wp:inline>
        </w:drawing>
      </w:r>
    </w:p>
    <w:p w14:paraId="0C749EAC" w14:textId="77777777" w:rsidR="00097988" w:rsidRPr="00975ACC" w:rsidRDefault="00097988" w:rsidP="00F67923">
      <w:pPr>
        <w:pStyle w:val="Vvojcen-nadpis3"/>
      </w:pPr>
      <w:bookmarkStart w:id="50" w:name="_Toc496446434"/>
      <w:bookmarkStart w:id="51" w:name="_Toc496518788"/>
      <w:bookmarkStart w:id="52" w:name="_Toc496446435"/>
      <w:bookmarkStart w:id="53" w:name="_Toc496518789"/>
      <w:bookmarkStart w:id="54" w:name="_Toc484008754"/>
      <w:bookmarkStart w:id="55" w:name="_Toc484009746"/>
      <w:bookmarkStart w:id="56" w:name="_Toc484009803"/>
      <w:bookmarkStart w:id="57" w:name="_Toc484009860"/>
      <w:bookmarkStart w:id="58" w:name="_Toc484009938"/>
      <w:bookmarkStart w:id="59" w:name="_Toc484010716"/>
      <w:bookmarkStart w:id="60" w:name="_Toc484008755"/>
      <w:bookmarkStart w:id="61" w:name="_Toc484009747"/>
      <w:bookmarkStart w:id="62" w:name="_Toc484009804"/>
      <w:bookmarkStart w:id="63" w:name="_Toc484009861"/>
      <w:bookmarkStart w:id="64" w:name="_Toc484009939"/>
      <w:bookmarkStart w:id="65" w:name="_Toc484010717"/>
      <w:bookmarkStart w:id="66" w:name="_Toc496446436"/>
      <w:bookmarkStart w:id="67" w:name="_Toc49651879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975ACC">
        <w:t>Kolektory</w:t>
      </w:r>
      <w:bookmarkEnd w:id="66"/>
      <w:bookmarkEnd w:id="67"/>
    </w:p>
    <w:p w14:paraId="70F7F696" w14:textId="60FE3B2B" w:rsidR="00001A50" w:rsidRPr="00436AFC" w:rsidRDefault="00D570B6" w:rsidP="00F67923">
      <w:pPr>
        <w:pStyle w:val="Vvojcen-zkladntext"/>
        <w:rPr>
          <w:rFonts w:cs="Arial"/>
        </w:rPr>
      </w:pPr>
      <w:r w:rsidRPr="00975ACC">
        <w:rPr>
          <w:rFonts w:cs="Arial"/>
        </w:rPr>
        <w:t>Kolektor je forma víceúčelového zařízení</w:t>
      </w:r>
      <w:r w:rsidR="005A6C8B" w:rsidRPr="00975ACC">
        <w:rPr>
          <w:rFonts w:cs="Arial"/>
        </w:rPr>
        <w:t xml:space="preserve"> obvykle</w:t>
      </w:r>
      <w:r w:rsidRPr="00975ACC">
        <w:rPr>
          <w:rFonts w:cs="Arial"/>
        </w:rPr>
        <w:t xml:space="preserve"> v husté městské zástavbě, kde zpravidla není možné provádět </w:t>
      </w:r>
      <w:r w:rsidR="0007694F" w:rsidRPr="00B05191">
        <w:rPr>
          <w:rFonts w:cs="Arial"/>
        </w:rPr>
        <w:t xml:space="preserve">individuální </w:t>
      </w:r>
      <w:r w:rsidRPr="00B05191">
        <w:rPr>
          <w:rFonts w:cs="Arial"/>
        </w:rPr>
        <w:t xml:space="preserve">instalace infrastrukturních sítí z důvodu stavebních </w:t>
      </w:r>
      <w:r w:rsidR="0007694F" w:rsidRPr="00B300B4">
        <w:rPr>
          <w:rFonts w:cs="Arial"/>
        </w:rPr>
        <w:t>a</w:t>
      </w:r>
      <w:r w:rsidR="00BF5274" w:rsidRPr="00B300B4">
        <w:rPr>
          <w:rFonts w:cs="Arial"/>
        </w:rPr>
        <w:t xml:space="preserve"> jiných</w:t>
      </w:r>
      <w:r w:rsidR="0007694F" w:rsidRPr="00B300B4">
        <w:rPr>
          <w:rFonts w:cs="Arial"/>
        </w:rPr>
        <w:t xml:space="preserve"> technických </w:t>
      </w:r>
      <w:r w:rsidRPr="00B300B4">
        <w:rPr>
          <w:rFonts w:cs="Arial"/>
        </w:rPr>
        <w:t>překážek</w:t>
      </w:r>
      <w:r w:rsidR="0007694F" w:rsidRPr="00B300B4">
        <w:rPr>
          <w:rFonts w:cs="Arial"/>
        </w:rPr>
        <w:t xml:space="preserve">, </w:t>
      </w:r>
      <w:r w:rsidR="00BF5274" w:rsidRPr="00B300B4">
        <w:rPr>
          <w:rFonts w:cs="Arial"/>
        </w:rPr>
        <w:t>místn</w:t>
      </w:r>
      <w:r w:rsidR="0007694F" w:rsidRPr="00B300B4">
        <w:rPr>
          <w:rFonts w:cs="Arial"/>
        </w:rPr>
        <w:t>ích</w:t>
      </w:r>
      <w:r w:rsidRPr="00B300B4">
        <w:rPr>
          <w:rFonts w:cs="Arial"/>
        </w:rPr>
        <w:t xml:space="preserve"> omezení</w:t>
      </w:r>
      <w:r w:rsidR="0007694F" w:rsidRPr="00B300B4">
        <w:rPr>
          <w:rFonts w:cs="Arial"/>
        </w:rPr>
        <w:t>, stavebních uzávěr apod</w:t>
      </w:r>
      <w:r w:rsidRPr="00B300B4">
        <w:rPr>
          <w:rFonts w:cs="Arial"/>
        </w:rPr>
        <w:t xml:space="preserve">. Z tohoto důvodu </w:t>
      </w:r>
      <w:r w:rsidR="0007694F" w:rsidRPr="00CA4021">
        <w:rPr>
          <w:rFonts w:cs="Arial"/>
        </w:rPr>
        <w:t>se přistoupilo ve velkých městech k</w:t>
      </w:r>
      <w:r w:rsidRPr="00CA4021">
        <w:rPr>
          <w:rFonts w:cs="Arial"/>
        </w:rPr>
        <w:t xml:space="preserve"> budován</w:t>
      </w:r>
      <w:r w:rsidR="0007694F" w:rsidRPr="00CA4021">
        <w:rPr>
          <w:rFonts w:cs="Arial"/>
        </w:rPr>
        <w:t>í</w:t>
      </w:r>
      <w:r w:rsidRPr="00CA4021">
        <w:rPr>
          <w:rFonts w:cs="Arial"/>
        </w:rPr>
        <w:t xml:space="preserve"> </w:t>
      </w:r>
      <w:r w:rsidR="0007694F" w:rsidRPr="00CA4021">
        <w:rPr>
          <w:rFonts w:cs="Arial"/>
        </w:rPr>
        <w:t>multifunkčních</w:t>
      </w:r>
      <w:r w:rsidRPr="00CA4021">
        <w:rPr>
          <w:rFonts w:cs="Arial"/>
        </w:rPr>
        <w:t xml:space="preserve"> tunel</w:t>
      </w:r>
      <w:r w:rsidR="0007694F" w:rsidRPr="00CA4021">
        <w:rPr>
          <w:rFonts w:cs="Arial"/>
        </w:rPr>
        <w:t>ů</w:t>
      </w:r>
      <w:r w:rsidRPr="00CA4021">
        <w:rPr>
          <w:rFonts w:cs="Arial"/>
        </w:rPr>
        <w:t xml:space="preserve">, které integrují všechny infrastrukturní sítě v dané lokalitě. Výstavba kolektorů je </w:t>
      </w:r>
      <w:r w:rsidR="0007694F" w:rsidRPr="00A533AC">
        <w:rPr>
          <w:rFonts w:cs="Arial"/>
        </w:rPr>
        <w:t xml:space="preserve">však </w:t>
      </w:r>
      <w:r w:rsidRPr="00A533AC">
        <w:rPr>
          <w:rFonts w:cs="Arial"/>
        </w:rPr>
        <w:t xml:space="preserve">velmi nákladná, </w:t>
      </w:r>
      <w:r w:rsidR="00AF418F" w:rsidRPr="009B2DD6">
        <w:rPr>
          <w:rFonts w:cs="Arial"/>
        </w:rPr>
        <w:t xml:space="preserve">i když </w:t>
      </w:r>
      <w:r w:rsidRPr="009B2DD6">
        <w:rPr>
          <w:rFonts w:cs="Arial"/>
        </w:rPr>
        <w:t>jejich přínos pro společnost je tak</w:t>
      </w:r>
      <w:r w:rsidRPr="00AF28AB">
        <w:rPr>
          <w:rFonts w:cs="Arial"/>
        </w:rPr>
        <w:t>řka nevyčíslitelný, zejména z pohledu ochrany životního prostředí a</w:t>
      </w:r>
      <w:r w:rsidR="00A3464A" w:rsidRPr="008A1875">
        <w:rPr>
          <w:rFonts w:cs="Arial"/>
        </w:rPr>
        <w:t xml:space="preserve"> </w:t>
      </w:r>
      <w:r w:rsidRPr="008A1875">
        <w:rPr>
          <w:rFonts w:cs="Arial"/>
        </w:rPr>
        <w:t>ú</w:t>
      </w:r>
      <w:r w:rsidR="0007694F" w:rsidRPr="008A1875">
        <w:rPr>
          <w:rFonts w:cs="Arial"/>
        </w:rPr>
        <w:t>s</w:t>
      </w:r>
      <w:r w:rsidRPr="008A1875">
        <w:rPr>
          <w:rFonts w:cs="Arial"/>
        </w:rPr>
        <w:t>por instalačních a provozních nákladů v budoucnosti.</w:t>
      </w:r>
      <w:r w:rsidR="00A3464A" w:rsidRPr="008A1875">
        <w:rPr>
          <w:rFonts w:cs="Arial"/>
        </w:rPr>
        <w:t xml:space="preserve"> </w:t>
      </w:r>
      <w:r w:rsidR="000255EE" w:rsidRPr="008A1875">
        <w:rPr>
          <w:rFonts w:cs="Arial"/>
        </w:rPr>
        <w:t xml:space="preserve">V kolektoru může být instalováno vícero typů prvků sítí elektronických komunikací (HDPE/chránička různé velikosti či přímo kabel), které nemají stejnou náročnost na zábor plochy kolektoru. Pro vyčíslení </w:t>
      </w:r>
      <w:r w:rsidR="00D37A14" w:rsidRPr="008A1875">
        <w:rPr>
          <w:rFonts w:cs="Arial"/>
        </w:rPr>
        <w:t>nákladů</w:t>
      </w:r>
      <w:r w:rsidR="000255EE" w:rsidRPr="008A1875">
        <w:rPr>
          <w:rFonts w:cs="Arial"/>
        </w:rPr>
        <w:t xml:space="preserve"> </w:t>
      </w:r>
      <w:r w:rsidR="00D37A14" w:rsidRPr="00BF6EEA">
        <w:rPr>
          <w:rFonts w:cs="Arial"/>
        </w:rPr>
        <w:t>proto</w:t>
      </w:r>
      <w:r w:rsidR="000255EE" w:rsidRPr="00BF6EEA">
        <w:rPr>
          <w:rFonts w:cs="Arial"/>
        </w:rPr>
        <w:t xml:space="preserve"> </w:t>
      </w:r>
      <w:r w:rsidR="001628F7" w:rsidRPr="00BF6EEA">
        <w:rPr>
          <w:rFonts w:cs="Arial"/>
        </w:rPr>
        <w:t xml:space="preserve">bude zpravidla </w:t>
      </w:r>
      <w:r w:rsidR="000255EE" w:rsidRPr="00BF6EEA">
        <w:rPr>
          <w:rFonts w:cs="Arial"/>
        </w:rPr>
        <w:t>určující stanovit velikost celkové</w:t>
      </w:r>
      <w:r w:rsidR="00D37A14" w:rsidRPr="00BF6EEA">
        <w:rPr>
          <w:rFonts w:cs="Arial"/>
        </w:rPr>
        <w:t xml:space="preserve"> plochy</w:t>
      </w:r>
      <w:r w:rsidR="000255EE" w:rsidRPr="00BF6EEA">
        <w:rPr>
          <w:rFonts w:cs="Arial"/>
        </w:rPr>
        <w:t xml:space="preserve"> kolektoru</w:t>
      </w:r>
      <w:r w:rsidR="00D37A14" w:rsidRPr="00BF6EEA">
        <w:rPr>
          <w:rFonts w:cs="Arial"/>
        </w:rPr>
        <w:t>, kterou</w:t>
      </w:r>
      <w:r w:rsidR="000255EE" w:rsidRPr="00BF6EEA">
        <w:rPr>
          <w:rFonts w:cs="Arial"/>
        </w:rPr>
        <w:t xml:space="preserve"> obsadí nově instalovaná infrastruktura.</w:t>
      </w:r>
    </w:p>
    <w:p w14:paraId="73BBCAFB" w14:textId="77777777" w:rsidR="000255EE" w:rsidRPr="00975ACC" w:rsidRDefault="000255EE" w:rsidP="00F67923">
      <w:pPr>
        <w:pStyle w:val="Vvojcen-zkladntext"/>
        <w:rPr>
          <w:rFonts w:cs="Arial"/>
        </w:rPr>
      </w:pPr>
      <w:r w:rsidRPr="00436AFC">
        <w:rPr>
          <w:rFonts w:cs="Arial"/>
        </w:rPr>
        <w:t>Pořizovací náklady na 1 metr</w:t>
      </w:r>
      <w:r w:rsidR="001628F7" w:rsidRPr="000C234A">
        <w:rPr>
          <w:rFonts w:cs="Arial"/>
          <w:vertAlign w:val="superscript"/>
        </w:rPr>
        <w:t>3</w:t>
      </w:r>
      <w:r w:rsidRPr="00975ACC">
        <w:rPr>
          <w:rFonts w:cs="Arial"/>
        </w:rPr>
        <w:t xml:space="preserve"> otvoru v kolektoru:</w:t>
      </w:r>
    </w:p>
    <w:p w14:paraId="0666EE02" w14:textId="77777777" w:rsidR="001628F7" w:rsidRPr="000C234A" w:rsidRDefault="00E30BFE" w:rsidP="000C234A">
      <w:pPr>
        <w:pStyle w:val="Vvojcen-zkladntext"/>
        <w:pBdr>
          <w:top w:val="single" w:sz="4" w:space="1" w:color="auto"/>
          <w:left w:val="single" w:sz="4" w:space="4" w:color="auto"/>
          <w:bottom w:val="single" w:sz="4" w:space="1" w:color="auto"/>
          <w:right w:val="single" w:sz="4" w:space="4" w:color="auto"/>
        </w:pBdr>
        <w:rPr>
          <w:rFonts w:cs="Arial"/>
          <w:b/>
          <w:sz w:val="24"/>
          <w:szCs w:val="24"/>
        </w:rPr>
      </w:pPr>
      <m:oMathPara>
        <m:oMath>
          <m:sSup>
            <m:sSupPr>
              <m:ctrlPr>
                <w:rPr>
                  <w:rFonts w:ascii="Cambria Math" w:hAnsi="Cambria Math" w:cs="Arial"/>
                  <w:b/>
                  <w:i/>
                  <w:sz w:val="24"/>
                  <w:szCs w:val="24"/>
                </w:rPr>
              </m:ctrlPr>
            </m:sSupPr>
            <m:e>
              <m:r>
                <m:rPr>
                  <m:sty m:val="bi"/>
                </m:rPr>
                <w:rPr>
                  <w:rFonts w:ascii="Cambria Math" w:hAnsi="Cambria Math" w:cs="Arial"/>
                  <w:sz w:val="24"/>
                  <w:szCs w:val="24"/>
                </w:rPr>
                <m:t>M</m:t>
              </m:r>
              <m:r>
                <m:rPr>
                  <m:sty m:val="bi"/>
                </m:rPr>
                <w:rPr>
                  <w:rFonts w:ascii="Cambria Math" w:hAnsi="Cambria Math" w:cs="Arial" w:hint="eastAsia"/>
                  <w:sz w:val="24"/>
                  <w:szCs w:val="24"/>
                </w:rPr>
                <m:t>ě</m:t>
              </m:r>
              <m:r>
                <m:rPr>
                  <m:sty m:val="bi"/>
                </m:rPr>
                <w:rPr>
                  <w:rFonts w:ascii="Cambria Math" w:hAnsi="Cambria Math" w:cs="Arial"/>
                  <w:sz w:val="24"/>
                  <w:szCs w:val="24"/>
                </w:rPr>
                <m:t>s</m:t>
              </m:r>
              <m:r>
                <m:rPr>
                  <m:sty m:val="bi"/>
                </m:rPr>
                <w:rPr>
                  <w:rFonts w:ascii="Cambria Math" w:hAnsi="Cambria Math" w:cs="Arial" w:hint="eastAsia"/>
                  <w:sz w:val="24"/>
                  <w:szCs w:val="24"/>
                </w:rPr>
                <m:t>íč</m:t>
              </m:r>
              <m:r>
                <m:rPr>
                  <m:sty m:val="bi"/>
                </m:rPr>
                <w:rPr>
                  <w:rFonts w:ascii="Cambria Math" w:hAnsi="Cambria Math" w:cs="Arial"/>
                  <w:sz w:val="24"/>
                  <w:szCs w:val="24"/>
                </w:rPr>
                <m:t>n</m:t>
              </m:r>
              <m:r>
                <m:rPr>
                  <m:sty m:val="bi"/>
                </m:rPr>
                <w:rPr>
                  <w:rFonts w:ascii="Cambria Math" w:hAnsi="Cambria Math" w:cs="Arial" w:hint="eastAsia"/>
                  <w:sz w:val="24"/>
                  <w:szCs w:val="24"/>
                </w:rPr>
                <m:t>í</m:t>
              </m:r>
              <m:r>
                <m:rPr>
                  <m:sty m:val="bi"/>
                </m:rPr>
                <w:rPr>
                  <w:rFonts w:ascii="Cambria Math" w:hAnsi="Cambria Math" w:cs="Arial"/>
                  <w:sz w:val="24"/>
                  <w:szCs w:val="24"/>
                </w:rPr>
                <m:t xml:space="preserve"> pron</m:t>
              </m:r>
              <m:r>
                <m:rPr>
                  <m:sty m:val="bi"/>
                </m:rPr>
                <w:rPr>
                  <w:rFonts w:ascii="Cambria Math" w:hAnsi="Cambria Math" w:cs="Arial" w:hint="eastAsia"/>
                  <w:sz w:val="24"/>
                  <w:szCs w:val="24"/>
                </w:rPr>
                <m:t>á</m:t>
              </m:r>
              <m:r>
                <m:rPr>
                  <m:sty m:val="bi"/>
                </m:rPr>
                <w:rPr>
                  <w:rFonts w:ascii="Cambria Math" w:hAnsi="Cambria Math" w:cs="Arial"/>
                  <w:sz w:val="24"/>
                  <w:szCs w:val="24"/>
                </w:rPr>
                <m:t>jem 1 metru</m:t>
              </m:r>
            </m:e>
            <m:sup>
              <m:r>
                <m:rPr>
                  <m:sty m:val="bi"/>
                </m:rPr>
                <w:rPr>
                  <w:rFonts w:ascii="Cambria Math" w:hAnsi="Cambria Math" w:cs="Arial"/>
                  <w:sz w:val="24"/>
                  <w:szCs w:val="24"/>
                </w:rPr>
                <m:t>3</m:t>
              </m:r>
            </m:sup>
          </m:sSup>
          <m:r>
            <m:rPr>
              <m:sty m:val="bi"/>
            </m:rPr>
            <w:rPr>
              <w:rFonts w:ascii="Cambria Math" w:hAnsi="Cambria Math" w:cs="Arial"/>
              <w:sz w:val="24"/>
              <w:szCs w:val="24"/>
            </w:rPr>
            <m:t xml:space="preserve"> prostoru=</m:t>
          </m:r>
          <m:f>
            <m:fPr>
              <m:ctrlPr>
                <w:rPr>
                  <w:rFonts w:ascii="Cambria Math" w:hAnsi="Cambria Math" w:cs="Arial"/>
                  <w:b/>
                  <w:i/>
                  <w:sz w:val="24"/>
                  <w:szCs w:val="24"/>
                </w:rPr>
              </m:ctrlPr>
            </m:fPr>
            <m:num>
              <m:r>
                <m:rPr>
                  <m:sty m:val="bi"/>
                </m:rPr>
                <w:rPr>
                  <w:rFonts w:ascii="Cambria Math" w:hAnsi="Cambria Math" w:cs="Arial"/>
                  <w:sz w:val="24"/>
                  <w:szCs w:val="24"/>
                </w:rPr>
                <m:t>C</m:t>
              </m:r>
            </m:num>
            <m:den>
              <m:r>
                <m:rPr>
                  <m:sty m:val="bi"/>
                </m:rPr>
                <w:rPr>
                  <w:rFonts w:ascii="Cambria Math" w:hAnsi="Cambria Math" w:cs="Arial"/>
                  <w:sz w:val="24"/>
                  <w:szCs w:val="24"/>
                </w:rPr>
                <m:t>12</m:t>
              </m:r>
            </m:den>
          </m:f>
          <m:r>
            <m:rPr>
              <m:sty m:val="bi"/>
            </m:rPr>
            <w:rPr>
              <w:rFonts w:ascii="Cambria Math" w:hAnsi="Cambria Math" w:cs="Arial" w:hint="eastAsia"/>
              <w:sz w:val="24"/>
              <w:szCs w:val="24"/>
            </w:rPr>
            <m:t>×</m:t>
          </m:r>
          <m:r>
            <m:rPr>
              <m:sty m:val="bi"/>
            </m:rPr>
            <w:rPr>
              <w:rFonts w:ascii="Cambria Math" w:hAnsi="Cambria Math" w:cs="Arial"/>
              <w:sz w:val="24"/>
              <w:szCs w:val="24"/>
            </w:rPr>
            <m:t>Koeficient sd</m:t>
          </m:r>
          <m:r>
            <m:rPr>
              <m:sty m:val="bi"/>
            </m:rPr>
            <w:rPr>
              <w:rFonts w:ascii="Cambria Math" w:hAnsi="Cambria Math" w:cs="Arial" w:hint="eastAsia"/>
              <w:sz w:val="24"/>
              <w:szCs w:val="24"/>
            </w:rPr>
            <m:t>í</m:t>
          </m:r>
          <m:r>
            <m:rPr>
              <m:sty m:val="bi"/>
            </m:rPr>
            <w:rPr>
              <w:rFonts w:ascii="Cambria Math" w:hAnsi="Cambria Math" w:cs="Arial"/>
              <w:sz w:val="24"/>
              <w:szCs w:val="24"/>
            </w:rPr>
            <m:t>len</m:t>
          </m:r>
          <m:r>
            <m:rPr>
              <m:sty m:val="bi"/>
            </m:rPr>
            <w:rPr>
              <w:rFonts w:ascii="Cambria Math" w:hAnsi="Cambria Math" w:cs="Arial" w:hint="eastAsia"/>
              <w:sz w:val="24"/>
              <w:szCs w:val="24"/>
            </w:rPr>
            <m:t>í</m:t>
          </m:r>
        </m:oMath>
      </m:oMathPara>
    </w:p>
    <w:p w14:paraId="35C568B7" w14:textId="77777777" w:rsidR="001628F7" w:rsidRPr="000C234A" w:rsidRDefault="001628F7" w:rsidP="001628F7">
      <w:pPr>
        <w:pStyle w:val="Vvojcen-zkladntext"/>
        <w:ind w:firstLine="0"/>
        <w:rPr>
          <w:rFonts w:cs="Arial"/>
        </w:rPr>
      </w:pPr>
      <w:r w:rsidRPr="000C234A">
        <w:rPr>
          <w:rFonts w:cs="Arial"/>
        </w:rPr>
        <w:t>kde</w:t>
      </w:r>
    </w:p>
    <w:p w14:paraId="714F11D7" w14:textId="77777777" w:rsidR="001628F7" w:rsidRPr="000C234A" w:rsidRDefault="001628F7" w:rsidP="00712B46">
      <w:pPr>
        <w:tabs>
          <w:tab w:val="left" w:pos="2127"/>
        </w:tabs>
        <w:overflowPunct/>
        <w:textAlignment w:val="auto"/>
        <w:rPr>
          <w:rFonts w:ascii="Arial" w:eastAsiaTheme="minorHAnsi" w:hAnsi="Arial" w:cs="Arial"/>
          <w:i/>
          <w:color w:val="000000"/>
          <w:lang w:eastAsia="en-US"/>
        </w:rPr>
      </w:pPr>
      <w:r w:rsidRPr="000C234A">
        <w:rPr>
          <w:rFonts w:ascii="Arial" w:eastAsiaTheme="minorHAnsi" w:hAnsi="Arial" w:cs="Arial"/>
          <w:i/>
          <w:color w:val="000000"/>
          <w:lang w:eastAsia="en-US"/>
        </w:rPr>
        <w:t xml:space="preserve">C </w:t>
      </w:r>
      <w:r w:rsidRPr="000C234A">
        <w:rPr>
          <w:rFonts w:ascii="Arial" w:eastAsiaTheme="minorHAnsi" w:hAnsi="Arial" w:cs="Arial"/>
          <w:i/>
          <w:color w:val="000000"/>
          <w:lang w:eastAsia="en-US"/>
        </w:rPr>
        <w:tab/>
        <w:t>roční kapitálová platba za 1 metr</w:t>
      </w:r>
      <w:r w:rsidRPr="000C234A">
        <w:rPr>
          <w:rFonts w:ascii="Arial" w:eastAsiaTheme="minorHAnsi" w:hAnsi="Arial" w:cs="Arial"/>
          <w:i/>
          <w:color w:val="000000"/>
          <w:vertAlign w:val="superscript"/>
          <w:lang w:eastAsia="en-US"/>
        </w:rPr>
        <w:t>3</w:t>
      </w:r>
      <w:r w:rsidRPr="000C234A">
        <w:rPr>
          <w:rFonts w:ascii="Arial" w:eastAsiaTheme="minorHAnsi" w:hAnsi="Arial" w:cs="Arial"/>
          <w:i/>
          <w:color w:val="000000"/>
          <w:lang w:eastAsia="en-US"/>
        </w:rPr>
        <w:t xml:space="preserve"> prostoru v kolektoru v Kč, </w:t>
      </w:r>
    </w:p>
    <w:p w14:paraId="3294C632" w14:textId="2F3132BA" w:rsidR="00095AB3" w:rsidRPr="00975ACC" w:rsidRDefault="001628F7" w:rsidP="000C234A">
      <w:pPr>
        <w:pStyle w:val="Vvojcen-zkladntext"/>
        <w:spacing w:before="0" w:after="0"/>
        <w:ind w:firstLine="0"/>
        <w:rPr>
          <w:rFonts w:cs="Arial"/>
          <w:b/>
          <w:u w:val="single"/>
        </w:rPr>
      </w:pPr>
      <w:r w:rsidRPr="000C234A">
        <w:rPr>
          <w:rFonts w:eastAsiaTheme="minorHAnsi" w:cs="Arial"/>
          <w:i/>
          <w:color w:val="000000"/>
          <w:sz w:val="20"/>
          <w:szCs w:val="20"/>
          <w:lang w:eastAsia="en-US"/>
        </w:rPr>
        <w:t xml:space="preserve">Koeficient sdílení </w:t>
      </w:r>
      <w:r w:rsidRPr="000C234A">
        <w:rPr>
          <w:rFonts w:eastAsiaTheme="minorHAnsi" w:cs="Arial"/>
          <w:i/>
          <w:color w:val="000000"/>
          <w:sz w:val="20"/>
          <w:szCs w:val="20"/>
          <w:lang w:eastAsia="en-US"/>
        </w:rPr>
        <w:tab/>
        <w:t>využití prvku oprávněnou osobou v %</w:t>
      </w:r>
      <w:r w:rsidR="009E38C7" w:rsidRPr="000C234A">
        <w:rPr>
          <w:rFonts w:eastAsiaTheme="minorHAnsi" w:cs="Arial"/>
          <w:i/>
          <w:color w:val="000000"/>
          <w:sz w:val="20"/>
          <w:szCs w:val="20"/>
          <w:lang w:eastAsia="en-US"/>
        </w:rPr>
        <w:t>.</w:t>
      </w:r>
    </w:p>
    <w:p w14:paraId="10842C9B" w14:textId="77777777" w:rsidR="00097988" w:rsidRPr="00975ACC" w:rsidRDefault="00097988" w:rsidP="00F67923">
      <w:pPr>
        <w:pStyle w:val="Vvojcen-nadpis3"/>
      </w:pPr>
      <w:bookmarkStart w:id="68" w:name="_Toc496446437"/>
      <w:bookmarkStart w:id="69" w:name="_Toc496518791"/>
      <w:r w:rsidRPr="00975ACC">
        <w:t>Inspekční komory</w:t>
      </w:r>
      <w:bookmarkEnd w:id="68"/>
      <w:bookmarkEnd w:id="69"/>
    </w:p>
    <w:p w14:paraId="39AFFD61" w14:textId="77777777" w:rsidR="0028374C" w:rsidRPr="00CA4021" w:rsidRDefault="00721784" w:rsidP="00F67923">
      <w:pPr>
        <w:pStyle w:val="Vvojcen-zkladntext"/>
        <w:rPr>
          <w:rFonts w:cs="Arial"/>
        </w:rPr>
      </w:pPr>
      <w:r w:rsidRPr="00B05191">
        <w:rPr>
          <w:rFonts w:cs="Arial"/>
        </w:rPr>
        <w:t>Samostatná kalkulace ceny pro i</w:t>
      </w:r>
      <w:r w:rsidR="0028374C" w:rsidRPr="00B05191">
        <w:rPr>
          <w:rFonts w:cs="Arial"/>
        </w:rPr>
        <w:t>nspekční komoru se neprovádí. Inspekční komora</w:t>
      </w:r>
      <w:r w:rsidRPr="00B05191">
        <w:rPr>
          <w:rFonts w:cs="Arial"/>
        </w:rPr>
        <w:t xml:space="preserve"> je součástí </w:t>
      </w:r>
      <w:r w:rsidR="0028374C" w:rsidRPr="00B300B4">
        <w:rPr>
          <w:rFonts w:cs="Arial"/>
        </w:rPr>
        <w:t xml:space="preserve">pořizovací ceny liniového prvku a nemá </w:t>
      </w:r>
      <w:r w:rsidR="00BF5274" w:rsidRPr="00B300B4">
        <w:rPr>
          <w:rFonts w:cs="Arial"/>
        </w:rPr>
        <w:t xml:space="preserve">zpravidla </w:t>
      </w:r>
      <w:r w:rsidR="0028374C" w:rsidRPr="00B300B4">
        <w:rPr>
          <w:rFonts w:cs="Arial"/>
        </w:rPr>
        <w:t>samostatné využití.</w:t>
      </w:r>
      <w:r w:rsidR="00D37A14" w:rsidRPr="00B300B4">
        <w:rPr>
          <w:rFonts w:cs="Arial"/>
        </w:rPr>
        <w:t xml:space="preserve"> Pokud by přesto mělo dojít k instalaci prvků sítí elektronických komunikací, postupuje se podle stejného principu, jako v případě kolektorů. Určující tedy</w:t>
      </w:r>
      <w:r w:rsidR="00BE1EFA" w:rsidRPr="00CA4021">
        <w:rPr>
          <w:rFonts w:cs="Arial"/>
        </w:rPr>
        <w:t xml:space="preserve"> zpravidla</w:t>
      </w:r>
      <w:r w:rsidR="00D37A14" w:rsidRPr="00CA4021">
        <w:rPr>
          <w:rFonts w:cs="Arial"/>
        </w:rPr>
        <w:t xml:space="preserve"> bude velikost plochy zabrané instalovanými prvky, jakožto klíč pro alokaci nákladu na m</w:t>
      </w:r>
      <w:r w:rsidR="00D37A14" w:rsidRPr="00CA4021">
        <w:rPr>
          <w:rFonts w:cs="Arial"/>
          <w:vertAlign w:val="superscript"/>
        </w:rPr>
        <w:t>3</w:t>
      </w:r>
      <w:r w:rsidR="00D37A14" w:rsidRPr="00CA4021">
        <w:rPr>
          <w:rFonts w:cs="Arial"/>
        </w:rPr>
        <w:t xml:space="preserve"> inspekční komory. </w:t>
      </w:r>
    </w:p>
    <w:p w14:paraId="2F9843E0" w14:textId="77777777" w:rsidR="00097988" w:rsidRPr="00975ACC" w:rsidRDefault="00097988" w:rsidP="00F67923">
      <w:pPr>
        <w:pStyle w:val="Vvojcen-nadpis3"/>
      </w:pPr>
      <w:bookmarkStart w:id="70" w:name="_Toc484008758"/>
      <w:bookmarkStart w:id="71" w:name="_Toc484009750"/>
      <w:bookmarkStart w:id="72" w:name="_Toc484009807"/>
      <w:bookmarkStart w:id="73" w:name="_Toc484009864"/>
      <w:bookmarkStart w:id="74" w:name="_Toc484009942"/>
      <w:bookmarkStart w:id="75" w:name="_Toc484010720"/>
      <w:bookmarkStart w:id="76" w:name="_Toc496446438"/>
      <w:bookmarkStart w:id="77" w:name="_Toc496518792"/>
      <w:bookmarkEnd w:id="70"/>
      <w:bookmarkEnd w:id="71"/>
      <w:bookmarkEnd w:id="72"/>
      <w:bookmarkEnd w:id="73"/>
      <w:bookmarkEnd w:id="74"/>
      <w:bookmarkEnd w:id="75"/>
      <w:r w:rsidRPr="00975ACC">
        <w:t>Vstupní šachty</w:t>
      </w:r>
      <w:bookmarkEnd w:id="76"/>
      <w:bookmarkEnd w:id="77"/>
    </w:p>
    <w:p w14:paraId="7F70AB0F" w14:textId="77777777" w:rsidR="0028374C" w:rsidRPr="002A0BB4" w:rsidRDefault="0028374C" w:rsidP="00F67923">
      <w:pPr>
        <w:pStyle w:val="Vvojcen-zkladntext"/>
        <w:rPr>
          <w:rFonts w:cs="Arial"/>
        </w:rPr>
      </w:pPr>
      <w:r w:rsidRPr="00CA4021">
        <w:rPr>
          <w:rFonts w:cs="Arial"/>
        </w:rPr>
        <w:t>Vstupní šachta je logickým ukončením kabelovodu</w:t>
      </w:r>
      <w:r w:rsidR="005D5882" w:rsidRPr="00CA4021">
        <w:rPr>
          <w:rFonts w:cs="Arial"/>
        </w:rPr>
        <w:t>,</w:t>
      </w:r>
      <w:r w:rsidRPr="00CA4021">
        <w:rPr>
          <w:rFonts w:cs="Arial"/>
        </w:rPr>
        <w:t xml:space="preserve"> přístupu k potrubí (HDPE chráničk</w:t>
      </w:r>
      <w:r w:rsidR="00BF5274" w:rsidRPr="00A533AC">
        <w:rPr>
          <w:rFonts w:cs="Arial"/>
        </w:rPr>
        <w:t>ám</w:t>
      </w:r>
      <w:r w:rsidRPr="00A533AC">
        <w:rPr>
          <w:rFonts w:cs="Arial"/>
        </w:rPr>
        <w:t xml:space="preserve">) </w:t>
      </w:r>
      <w:r w:rsidR="005D5882" w:rsidRPr="009B2DD6">
        <w:rPr>
          <w:rFonts w:cs="Arial"/>
        </w:rPr>
        <w:t>nebo</w:t>
      </w:r>
      <w:r w:rsidRPr="009B2DD6">
        <w:rPr>
          <w:rFonts w:cs="Arial"/>
        </w:rPr>
        <w:t xml:space="preserve"> obdobný</w:t>
      </w:r>
      <w:r w:rsidR="00BF5274" w:rsidRPr="00AF28AB">
        <w:rPr>
          <w:rFonts w:cs="Arial"/>
        </w:rPr>
        <w:t>m</w:t>
      </w:r>
      <w:r w:rsidRPr="00AF28AB">
        <w:rPr>
          <w:rFonts w:cs="Arial"/>
        </w:rPr>
        <w:t xml:space="preserve"> liniový</w:t>
      </w:r>
      <w:r w:rsidR="00BF5274" w:rsidRPr="00AF28AB">
        <w:rPr>
          <w:rFonts w:cs="Arial"/>
        </w:rPr>
        <w:t>m</w:t>
      </w:r>
      <w:r w:rsidRPr="008A1875">
        <w:rPr>
          <w:rFonts w:cs="Arial"/>
        </w:rPr>
        <w:t xml:space="preserve"> prvků</w:t>
      </w:r>
      <w:r w:rsidR="00BF5274" w:rsidRPr="008A1875">
        <w:rPr>
          <w:rFonts w:cs="Arial"/>
        </w:rPr>
        <w:t>m</w:t>
      </w:r>
      <w:r w:rsidRPr="008A1875">
        <w:rPr>
          <w:rFonts w:cs="Arial"/>
        </w:rPr>
        <w:t xml:space="preserve"> fyzické infrastruktury. Vstupní šachta </w:t>
      </w:r>
      <w:r w:rsidR="005D5882" w:rsidRPr="008A1875">
        <w:rPr>
          <w:rFonts w:cs="Arial"/>
        </w:rPr>
        <w:t>má smysl jako</w:t>
      </w:r>
      <w:r w:rsidRPr="00BF6EEA">
        <w:rPr>
          <w:rFonts w:cs="Arial"/>
        </w:rPr>
        <w:t xml:space="preserve"> součást pořizovací ceny liniového prvku</w:t>
      </w:r>
      <w:r w:rsidR="00BF5274" w:rsidRPr="00BF6EEA">
        <w:rPr>
          <w:rFonts w:cs="Arial"/>
        </w:rPr>
        <w:t xml:space="preserve"> jako celku</w:t>
      </w:r>
      <w:r w:rsidRPr="00BF6EEA">
        <w:rPr>
          <w:rFonts w:cs="Arial"/>
        </w:rPr>
        <w:t>.</w:t>
      </w:r>
      <w:r w:rsidR="005551CE" w:rsidRPr="00BF6EEA">
        <w:rPr>
          <w:rFonts w:cs="Arial"/>
        </w:rPr>
        <w:t xml:space="preserve"> Samostatná kalkulace ceny pro vstupní šachty se </w:t>
      </w:r>
      <w:r w:rsidR="005D5882" w:rsidRPr="00BF6EEA">
        <w:rPr>
          <w:rFonts w:cs="Arial"/>
        </w:rPr>
        <w:t xml:space="preserve">proto </w:t>
      </w:r>
      <w:r w:rsidR="005551CE" w:rsidRPr="00BF6EEA">
        <w:rPr>
          <w:rFonts w:cs="Arial"/>
        </w:rPr>
        <w:t>neprovádí.</w:t>
      </w:r>
      <w:r w:rsidR="00D37A14" w:rsidRPr="00BF6EEA">
        <w:rPr>
          <w:rFonts w:cs="Arial"/>
        </w:rPr>
        <w:t xml:space="preserve"> Pokud by přesto mělo dojít k instalaci prvků sítí elektronických komunikací, postupuje se podle stejného principu, jako v případě kolektorů. Určující tedy</w:t>
      </w:r>
      <w:r w:rsidR="00BE1EFA" w:rsidRPr="00436AFC">
        <w:rPr>
          <w:rFonts w:cs="Arial"/>
        </w:rPr>
        <w:t xml:space="preserve"> zpravidla</w:t>
      </w:r>
      <w:r w:rsidR="00D37A14" w:rsidRPr="00436AFC">
        <w:rPr>
          <w:rFonts w:cs="Arial"/>
        </w:rPr>
        <w:t xml:space="preserve"> bude velikost plochy zabrané instalovanými prvky, jakožto klíč pro alokaci nákladu na m</w:t>
      </w:r>
      <w:r w:rsidR="00D37A14" w:rsidRPr="002A0BB4">
        <w:rPr>
          <w:rFonts w:cs="Arial"/>
          <w:vertAlign w:val="superscript"/>
        </w:rPr>
        <w:t>3</w:t>
      </w:r>
      <w:r w:rsidR="00D37A14" w:rsidRPr="002A0BB4">
        <w:rPr>
          <w:rFonts w:cs="Arial"/>
        </w:rPr>
        <w:t xml:space="preserve"> vstupní šachty.</w:t>
      </w:r>
    </w:p>
    <w:p w14:paraId="205F519E" w14:textId="77777777" w:rsidR="00097988" w:rsidRPr="00975ACC" w:rsidRDefault="00097988" w:rsidP="00F67923">
      <w:pPr>
        <w:pStyle w:val="Vvojcen-nadpis3"/>
        <w:rPr>
          <w:color w:val="000000" w:themeColor="text1"/>
        </w:rPr>
      </w:pPr>
      <w:bookmarkStart w:id="78" w:name="_Toc484008760"/>
      <w:bookmarkStart w:id="79" w:name="_Toc484009752"/>
      <w:bookmarkStart w:id="80" w:name="_Toc484009809"/>
      <w:bookmarkStart w:id="81" w:name="_Toc484009866"/>
      <w:bookmarkStart w:id="82" w:name="_Toc484009944"/>
      <w:bookmarkStart w:id="83" w:name="_Toc484010722"/>
      <w:bookmarkStart w:id="84" w:name="_Toc496446439"/>
      <w:bookmarkStart w:id="85" w:name="_Toc496518793"/>
      <w:bookmarkEnd w:id="78"/>
      <w:bookmarkEnd w:id="79"/>
      <w:bookmarkEnd w:id="80"/>
      <w:bookmarkEnd w:id="81"/>
      <w:bookmarkEnd w:id="82"/>
      <w:bookmarkEnd w:id="83"/>
      <w:r w:rsidRPr="00975ACC">
        <w:t>Rozvodné skříně</w:t>
      </w:r>
      <w:bookmarkEnd w:id="84"/>
      <w:bookmarkEnd w:id="85"/>
    </w:p>
    <w:p w14:paraId="03CAD4EC" w14:textId="77777777" w:rsidR="00BC3F65" w:rsidRPr="00975ACC" w:rsidRDefault="00DC6ACA" w:rsidP="00F67923">
      <w:pPr>
        <w:pStyle w:val="Vvojcen-zkladntext"/>
        <w:rPr>
          <w:rFonts w:cs="Arial"/>
          <w:b/>
          <w:color w:val="000000" w:themeColor="text1"/>
          <w:sz w:val="28"/>
          <w:szCs w:val="28"/>
        </w:rPr>
      </w:pPr>
      <w:r w:rsidRPr="00CA4021">
        <w:rPr>
          <w:rFonts w:cs="Arial"/>
        </w:rPr>
        <w:t>Jedná se o velk</w:t>
      </w:r>
      <w:r w:rsidR="00BF5274" w:rsidRPr="00CA4021">
        <w:rPr>
          <w:rFonts w:cs="Arial"/>
        </w:rPr>
        <w:t>é</w:t>
      </w:r>
      <w:r w:rsidRPr="00CA4021">
        <w:rPr>
          <w:rFonts w:cs="Arial"/>
        </w:rPr>
        <w:t xml:space="preserve"> množství různých rozvaděčů a technologických skří</w:t>
      </w:r>
      <w:r w:rsidR="00BF5274" w:rsidRPr="00CA4021">
        <w:rPr>
          <w:rFonts w:cs="Arial"/>
        </w:rPr>
        <w:t>ní, které slouží k umístění rozmanit</w:t>
      </w:r>
      <w:r w:rsidRPr="00A533AC">
        <w:rPr>
          <w:rFonts w:cs="Arial"/>
        </w:rPr>
        <w:t xml:space="preserve">ých technologií, zejména rozvodů pro ukončení </w:t>
      </w:r>
      <w:r w:rsidR="00BF5274" w:rsidRPr="00A533AC">
        <w:rPr>
          <w:rFonts w:cs="Arial"/>
        </w:rPr>
        <w:t>nebo</w:t>
      </w:r>
      <w:r w:rsidRPr="009B2DD6">
        <w:rPr>
          <w:rFonts w:cs="Arial"/>
        </w:rPr>
        <w:t xml:space="preserve"> propojení kabelových vedení a umístění přenosových prostředků. Škála těc</w:t>
      </w:r>
      <w:r w:rsidRPr="00AF28AB">
        <w:rPr>
          <w:rFonts w:cs="Arial"/>
        </w:rPr>
        <w:t xml:space="preserve">hto </w:t>
      </w:r>
      <w:r w:rsidR="009B7D22" w:rsidRPr="00AF28AB">
        <w:rPr>
          <w:rFonts w:cs="Arial"/>
        </w:rPr>
        <w:t xml:space="preserve">prvků </w:t>
      </w:r>
      <w:r w:rsidRPr="00AF28AB">
        <w:rPr>
          <w:rFonts w:cs="Arial"/>
        </w:rPr>
        <w:t xml:space="preserve">je natolik </w:t>
      </w:r>
      <w:r w:rsidR="00BF5274" w:rsidRPr="008A1875">
        <w:rPr>
          <w:rFonts w:cs="Arial"/>
        </w:rPr>
        <w:t>boha</w:t>
      </w:r>
      <w:r w:rsidRPr="008A1875">
        <w:rPr>
          <w:rFonts w:cs="Arial"/>
        </w:rPr>
        <w:t xml:space="preserve">tá, že nelze provést žádnou kategorizaci nebo standardizaci </w:t>
      </w:r>
      <w:r w:rsidR="009B7D22" w:rsidRPr="008A1875">
        <w:rPr>
          <w:rFonts w:cs="Arial"/>
        </w:rPr>
        <w:t>pro</w:t>
      </w:r>
      <w:r w:rsidR="00936BD6" w:rsidRPr="008A1875">
        <w:rPr>
          <w:rFonts w:cs="Arial"/>
        </w:rPr>
        <w:t xml:space="preserve"> stanovení</w:t>
      </w:r>
      <w:r w:rsidRPr="008A1875">
        <w:rPr>
          <w:rFonts w:cs="Arial"/>
        </w:rPr>
        <w:t xml:space="preserve"> cen</w:t>
      </w:r>
      <w:r w:rsidR="00936BD6" w:rsidRPr="008A1875">
        <w:rPr>
          <w:rFonts w:cs="Arial"/>
        </w:rPr>
        <w:t>y pronájmu</w:t>
      </w:r>
      <w:r w:rsidRPr="008A1875">
        <w:rPr>
          <w:rFonts w:cs="Arial"/>
        </w:rPr>
        <w:t xml:space="preserve">. </w:t>
      </w:r>
      <w:r w:rsidR="00936BD6" w:rsidRPr="008A1875">
        <w:rPr>
          <w:rFonts w:cs="Arial"/>
        </w:rPr>
        <w:t>C</w:t>
      </w:r>
      <w:r w:rsidRPr="008A1875">
        <w:rPr>
          <w:rFonts w:cs="Arial"/>
        </w:rPr>
        <w:t>en</w:t>
      </w:r>
      <w:r w:rsidR="00936BD6" w:rsidRPr="008A1875">
        <w:rPr>
          <w:rFonts w:cs="Arial"/>
        </w:rPr>
        <w:t>a</w:t>
      </w:r>
      <w:r w:rsidRPr="00BF6EEA">
        <w:rPr>
          <w:rFonts w:cs="Arial"/>
        </w:rPr>
        <w:t xml:space="preserve"> pronájmu sdíleného prostoru v rozvodné skříni </w:t>
      </w:r>
      <w:r w:rsidR="00BC3F65" w:rsidRPr="00BF6EEA">
        <w:rPr>
          <w:rFonts w:cs="Arial"/>
        </w:rPr>
        <w:t>bude</w:t>
      </w:r>
      <w:r w:rsidRPr="00BF6EEA">
        <w:rPr>
          <w:rFonts w:cs="Arial"/>
        </w:rPr>
        <w:t xml:space="preserve"> </w:t>
      </w:r>
      <w:r w:rsidR="00936BD6" w:rsidRPr="00BF6EEA">
        <w:rPr>
          <w:rFonts w:cs="Arial"/>
        </w:rPr>
        <w:t xml:space="preserve">proto </w:t>
      </w:r>
      <w:r w:rsidRPr="00BF6EEA">
        <w:rPr>
          <w:rFonts w:cs="Arial"/>
        </w:rPr>
        <w:t>proveden</w:t>
      </w:r>
      <w:r w:rsidR="00936BD6" w:rsidRPr="00BF6EEA">
        <w:rPr>
          <w:rFonts w:cs="Arial"/>
        </w:rPr>
        <w:t>a</w:t>
      </w:r>
      <w:r w:rsidRPr="00BF6EEA">
        <w:rPr>
          <w:rFonts w:cs="Arial"/>
        </w:rPr>
        <w:t xml:space="preserve"> </w:t>
      </w:r>
      <w:r w:rsidR="00BC3F65" w:rsidRPr="005B5CFD">
        <w:rPr>
          <w:rFonts w:cs="Arial"/>
        </w:rPr>
        <w:t xml:space="preserve">individuální </w:t>
      </w:r>
      <w:r w:rsidR="00936BD6" w:rsidRPr="005B5CFD">
        <w:rPr>
          <w:rFonts w:cs="Arial"/>
        </w:rPr>
        <w:t>kalkulací</w:t>
      </w:r>
      <w:r w:rsidR="00BC3F65" w:rsidRPr="005B5CFD">
        <w:rPr>
          <w:rFonts w:cs="Arial"/>
        </w:rPr>
        <w:t>.</w:t>
      </w:r>
      <w:r w:rsidRPr="00436AFC">
        <w:rPr>
          <w:rFonts w:cs="Arial"/>
        </w:rPr>
        <w:t xml:space="preserve"> </w:t>
      </w:r>
    </w:p>
    <w:p w14:paraId="17570FE5" w14:textId="77777777" w:rsidR="00BC3F65" w:rsidRPr="00CA4021" w:rsidRDefault="009B7D22" w:rsidP="00F67923">
      <w:pPr>
        <w:pStyle w:val="Vvojcen-zkladntext"/>
        <w:rPr>
          <w:rFonts w:cs="Arial"/>
        </w:rPr>
      </w:pPr>
      <w:r w:rsidRPr="00CA4021">
        <w:rPr>
          <w:rFonts w:cs="Arial"/>
        </w:rPr>
        <w:lastRenderedPageBreak/>
        <w:t>Pořizovací n</w:t>
      </w:r>
      <w:r w:rsidR="00BC3F65" w:rsidRPr="00CA4021">
        <w:rPr>
          <w:rFonts w:cs="Arial"/>
        </w:rPr>
        <w:t>áklady na sdílený prostor v rozvodné skříni:</w:t>
      </w:r>
    </w:p>
    <w:p w14:paraId="0209737A" w14:textId="77777777" w:rsidR="00BE1EFA" w:rsidRPr="000C234A" w:rsidRDefault="001C3993" w:rsidP="000C234A">
      <w:pPr>
        <w:pStyle w:val="Vvojcen-zkladntext"/>
        <w:pBdr>
          <w:top w:val="single" w:sz="4" w:space="1" w:color="auto"/>
          <w:left w:val="single" w:sz="4" w:space="4" w:color="auto"/>
          <w:bottom w:val="single" w:sz="4" w:space="1" w:color="auto"/>
          <w:right w:val="single" w:sz="4" w:space="4" w:color="auto"/>
        </w:pBdr>
        <w:rPr>
          <w:rFonts w:cs="Arial"/>
          <w:b/>
          <w:sz w:val="24"/>
          <w:szCs w:val="24"/>
        </w:rPr>
      </w:pPr>
      <m:oMathPara>
        <m:oMath>
          <m:r>
            <m:rPr>
              <m:sty m:val="bi"/>
            </m:rPr>
            <w:rPr>
              <w:rFonts w:ascii="Cambria Math" w:hAnsi="Cambria Math" w:cs="Arial"/>
              <w:sz w:val="24"/>
              <w:szCs w:val="24"/>
            </w:rPr>
            <m:t>M</m:t>
          </m:r>
          <m:r>
            <m:rPr>
              <m:sty m:val="bi"/>
            </m:rPr>
            <w:rPr>
              <w:rFonts w:ascii="Cambria Math" w:hAnsi="Cambria Math" w:cs="Arial" w:hint="eastAsia"/>
              <w:sz w:val="24"/>
              <w:szCs w:val="24"/>
            </w:rPr>
            <m:t>ě</m:t>
          </m:r>
          <m:r>
            <m:rPr>
              <m:sty m:val="bi"/>
            </m:rPr>
            <w:rPr>
              <w:rFonts w:ascii="Cambria Math" w:hAnsi="Cambria Math" w:cs="Arial"/>
              <w:sz w:val="24"/>
              <w:szCs w:val="24"/>
            </w:rPr>
            <m:t>s</m:t>
          </m:r>
          <m:r>
            <m:rPr>
              <m:sty m:val="bi"/>
            </m:rPr>
            <w:rPr>
              <w:rFonts w:ascii="Cambria Math" w:hAnsi="Cambria Math" w:cs="Arial" w:hint="eastAsia"/>
              <w:sz w:val="24"/>
              <w:szCs w:val="24"/>
            </w:rPr>
            <m:t>íč</m:t>
          </m:r>
          <m:r>
            <m:rPr>
              <m:sty m:val="bi"/>
            </m:rPr>
            <w:rPr>
              <w:rFonts w:ascii="Cambria Math" w:hAnsi="Cambria Math" w:cs="Arial"/>
              <w:sz w:val="24"/>
              <w:szCs w:val="24"/>
            </w:rPr>
            <m:t>n</m:t>
          </m:r>
          <m:r>
            <m:rPr>
              <m:sty m:val="bi"/>
            </m:rPr>
            <w:rPr>
              <w:rFonts w:ascii="Cambria Math" w:hAnsi="Cambria Math" w:cs="Arial" w:hint="eastAsia"/>
              <w:sz w:val="24"/>
              <w:szCs w:val="24"/>
            </w:rPr>
            <m:t>í</m:t>
          </m:r>
          <m:r>
            <m:rPr>
              <m:sty m:val="bi"/>
            </m:rPr>
            <w:rPr>
              <w:rFonts w:ascii="Cambria Math" w:hAnsi="Cambria Math" w:cs="Arial"/>
              <w:sz w:val="24"/>
              <w:szCs w:val="24"/>
            </w:rPr>
            <m:t xml:space="preserve"> pron</m:t>
          </m:r>
          <m:r>
            <m:rPr>
              <m:sty m:val="bi"/>
            </m:rPr>
            <w:rPr>
              <w:rFonts w:ascii="Cambria Math" w:hAnsi="Cambria Math" w:cs="Arial" w:hint="eastAsia"/>
              <w:sz w:val="24"/>
              <w:szCs w:val="24"/>
            </w:rPr>
            <m:t>á</m:t>
          </m:r>
          <m:r>
            <m:rPr>
              <m:sty m:val="bi"/>
            </m:rPr>
            <w:rPr>
              <w:rFonts w:ascii="Cambria Math" w:hAnsi="Cambria Math" w:cs="Arial"/>
              <w:sz w:val="24"/>
              <w:szCs w:val="24"/>
            </w:rPr>
            <m:t>jem rozvodné skříně=</m:t>
          </m:r>
          <m:f>
            <m:fPr>
              <m:ctrlPr>
                <w:rPr>
                  <w:rFonts w:ascii="Cambria Math" w:hAnsi="Cambria Math" w:cs="Arial"/>
                  <w:b/>
                  <w:i/>
                  <w:sz w:val="24"/>
                  <w:szCs w:val="24"/>
                </w:rPr>
              </m:ctrlPr>
            </m:fPr>
            <m:num>
              <m:r>
                <m:rPr>
                  <m:sty m:val="bi"/>
                </m:rPr>
                <w:rPr>
                  <w:rFonts w:ascii="Cambria Math" w:hAnsi="Cambria Math" w:cs="Arial"/>
                  <w:sz w:val="24"/>
                  <w:szCs w:val="24"/>
                </w:rPr>
                <m:t>C</m:t>
              </m:r>
            </m:num>
            <m:den>
              <m:r>
                <m:rPr>
                  <m:sty m:val="bi"/>
                </m:rPr>
                <w:rPr>
                  <w:rFonts w:ascii="Cambria Math" w:hAnsi="Cambria Math" w:cs="Arial"/>
                  <w:sz w:val="24"/>
                  <w:szCs w:val="24"/>
                </w:rPr>
                <m:t>12</m:t>
              </m:r>
            </m:den>
          </m:f>
          <m:r>
            <m:rPr>
              <m:sty m:val="bi"/>
            </m:rPr>
            <w:rPr>
              <w:rFonts w:ascii="Cambria Math" w:hAnsi="Cambria Math" w:cs="Arial" w:hint="eastAsia"/>
              <w:sz w:val="24"/>
              <w:szCs w:val="24"/>
            </w:rPr>
            <m:t>×</m:t>
          </m:r>
          <m:r>
            <m:rPr>
              <m:sty m:val="bi"/>
            </m:rPr>
            <w:rPr>
              <w:rFonts w:ascii="Cambria Math" w:hAnsi="Cambria Math" w:cs="Arial"/>
              <w:sz w:val="24"/>
              <w:szCs w:val="24"/>
            </w:rPr>
            <m:t>Koeficient sd</m:t>
          </m:r>
          <m:r>
            <m:rPr>
              <m:sty m:val="bi"/>
            </m:rPr>
            <w:rPr>
              <w:rFonts w:ascii="Cambria Math" w:hAnsi="Cambria Math" w:cs="Arial" w:hint="eastAsia"/>
              <w:sz w:val="24"/>
              <w:szCs w:val="24"/>
            </w:rPr>
            <m:t>í</m:t>
          </m:r>
          <m:r>
            <m:rPr>
              <m:sty m:val="bi"/>
            </m:rPr>
            <w:rPr>
              <w:rFonts w:ascii="Cambria Math" w:hAnsi="Cambria Math" w:cs="Arial"/>
              <w:sz w:val="24"/>
              <w:szCs w:val="24"/>
            </w:rPr>
            <m:t>lení</m:t>
          </m:r>
        </m:oMath>
      </m:oMathPara>
    </w:p>
    <w:p w14:paraId="3F9FB409" w14:textId="77777777" w:rsidR="00BE1EFA" w:rsidRPr="000C234A" w:rsidRDefault="00BE1EFA" w:rsidP="00BE1EFA">
      <w:pPr>
        <w:pStyle w:val="Vvojcen-zkladntext"/>
        <w:ind w:firstLine="0"/>
        <w:rPr>
          <w:rFonts w:cs="Arial"/>
        </w:rPr>
      </w:pPr>
      <w:r w:rsidRPr="000C234A">
        <w:rPr>
          <w:rFonts w:cs="Arial"/>
        </w:rPr>
        <w:t>kde</w:t>
      </w:r>
    </w:p>
    <w:p w14:paraId="6CCA9742" w14:textId="77777777" w:rsidR="00BE1EFA" w:rsidRPr="000C234A" w:rsidRDefault="00BE1EFA" w:rsidP="00712B46">
      <w:pPr>
        <w:tabs>
          <w:tab w:val="left" w:pos="2127"/>
        </w:tabs>
        <w:overflowPunct/>
        <w:textAlignment w:val="auto"/>
        <w:rPr>
          <w:rFonts w:ascii="Arial" w:eastAsiaTheme="minorHAnsi" w:hAnsi="Arial" w:cs="Arial"/>
          <w:i/>
          <w:color w:val="000000"/>
          <w:lang w:eastAsia="en-US"/>
        </w:rPr>
      </w:pPr>
      <w:r w:rsidRPr="000C234A">
        <w:rPr>
          <w:rFonts w:ascii="Arial" w:eastAsiaTheme="minorHAnsi" w:hAnsi="Arial" w:cs="Arial"/>
          <w:i/>
          <w:color w:val="000000"/>
          <w:lang w:eastAsia="en-US"/>
        </w:rPr>
        <w:t xml:space="preserve">C </w:t>
      </w:r>
      <w:r w:rsidRPr="000C234A">
        <w:rPr>
          <w:rFonts w:ascii="Arial" w:eastAsiaTheme="minorHAnsi" w:hAnsi="Arial" w:cs="Arial"/>
          <w:i/>
          <w:color w:val="000000"/>
          <w:lang w:eastAsia="en-US"/>
        </w:rPr>
        <w:tab/>
        <w:t xml:space="preserve">roční kapitálová platba za 1 kus rozvodné skříně v Kč, </w:t>
      </w:r>
    </w:p>
    <w:p w14:paraId="7C582A02" w14:textId="70880CB0" w:rsidR="005551CE" w:rsidRPr="00B05191" w:rsidRDefault="00BE1EFA" w:rsidP="000C234A">
      <w:pPr>
        <w:pStyle w:val="Vvojcen-zkladntext"/>
        <w:spacing w:before="0" w:after="0"/>
        <w:ind w:firstLine="0"/>
        <w:rPr>
          <w:rFonts w:cs="Arial"/>
        </w:rPr>
      </w:pPr>
      <w:r w:rsidRPr="000C234A">
        <w:rPr>
          <w:rFonts w:eastAsiaTheme="minorHAnsi" w:cs="Arial"/>
          <w:i/>
          <w:color w:val="000000"/>
          <w:sz w:val="20"/>
          <w:szCs w:val="20"/>
          <w:lang w:eastAsia="en-US"/>
        </w:rPr>
        <w:t xml:space="preserve">Koeficient sdílení </w:t>
      </w:r>
      <w:r w:rsidRPr="000C234A">
        <w:rPr>
          <w:rFonts w:eastAsiaTheme="minorHAnsi" w:cs="Arial"/>
          <w:i/>
          <w:color w:val="000000"/>
          <w:sz w:val="20"/>
          <w:szCs w:val="20"/>
          <w:lang w:eastAsia="en-US"/>
        </w:rPr>
        <w:tab/>
        <w:t>využití prvku oprávněnou osobou v %</w:t>
      </w:r>
      <w:r w:rsidR="009E38C7" w:rsidRPr="000C234A">
        <w:rPr>
          <w:rFonts w:eastAsiaTheme="minorHAnsi" w:cs="Arial"/>
          <w:i/>
          <w:color w:val="000000"/>
          <w:sz w:val="20"/>
          <w:szCs w:val="20"/>
          <w:lang w:eastAsia="en-US"/>
        </w:rPr>
        <w:t>.</w:t>
      </w:r>
    </w:p>
    <w:p w14:paraId="5D508BDB" w14:textId="77777777" w:rsidR="00097988" w:rsidRPr="00B05191" w:rsidRDefault="00097988" w:rsidP="00F67923">
      <w:pPr>
        <w:pStyle w:val="Vvojcen-nadpis3"/>
      </w:pPr>
      <w:bookmarkStart w:id="86" w:name="_Toc484008762"/>
      <w:bookmarkStart w:id="87" w:name="_Toc484009754"/>
      <w:bookmarkStart w:id="88" w:name="_Toc484009811"/>
      <w:bookmarkStart w:id="89" w:name="_Toc484009868"/>
      <w:bookmarkStart w:id="90" w:name="_Toc484009946"/>
      <w:bookmarkStart w:id="91" w:name="_Toc484010724"/>
      <w:bookmarkStart w:id="92" w:name="_Toc484008763"/>
      <w:bookmarkStart w:id="93" w:name="_Toc484009755"/>
      <w:bookmarkStart w:id="94" w:name="_Toc484009812"/>
      <w:bookmarkStart w:id="95" w:name="_Toc484009869"/>
      <w:bookmarkStart w:id="96" w:name="_Toc484009947"/>
      <w:bookmarkStart w:id="97" w:name="_Toc484010725"/>
      <w:bookmarkStart w:id="98" w:name="_Toc496446440"/>
      <w:bookmarkStart w:id="99" w:name="_Toc496518794"/>
      <w:bookmarkEnd w:id="86"/>
      <w:bookmarkEnd w:id="87"/>
      <w:bookmarkEnd w:id="88"/>
      <w:bookmarkEnd w:id="89"/>
      <w:bookmarkEnd w:id="90"/>
      <w:bookmarkEnd w:id="91"/>
      <w:bookmarkEnd w:id="92"/>
      <w:bookmarkEnd w:id="93"/>
      <w:bookmarkEnd w:id="94"/>
      <w:bookmarkEnd w:id="95"/>
      <w:bookmarkEnd w:id="96"/>
      <w:bookmarkEnd w:id="97"/>
      <w:r w:rsidRPr="00B05191">
        <w:t>Budovy a vstupy do budov</w:t>
      </w:r>
      <w:bookmarkEnd w:id="98"/>
      <w:bookmarkEnd w:id="99"/>
    </w:p>
    <w:p w14:paraId="76123795" w14:textId="522ECCFA" w:rsidR="00E452AC" w:rsidRPr="00B05191" w:rsidRDefault="004C5B01" w:rsidP="00F67923">
      <w:pPr>
        <w:pStyle w:val="Vvojcen-zkladntext"/>
        <w:rPr>
          <w:rFonts w:cs="Arial"/>
          <w:b/>
          <w:color w:val="000000" w:themeColor="text1"/>
          <w:sz w:val="28"/>
          <w:szCs w:val="28"/>
          <w:vertAlign w:val="superscript"/>
        </w:rPr>
      </w:pPr>
      <w:r w:rsidRPr="00B05191">
        <w:rPr>
          <w:rFonts w:cs="Arial"/>
        </w:rPr>
        <w:t xml:space="preserve">V případě budov se jedná o poskytnutí plochy </w:t>
      </w:r>
      <w:r w:rsidR="00EB00C4" w:rsidRPr="00B05191">
        <w:rPr>
          <w:rFonts w:cs="Arial"/>
        </w:rPr>
        <w:t xml:space="preserve">nezbytné </w:t>
      </w:r>
      <w:r w:rsidRPr="00B300B4">
        <w:rPr>
          <w:rFonts w:cs="Arial"/>
        </w:rPr>
        <w:t xml:space="preserve">pro </w:t>
      </w:r>
      <w:r w:rsidR="00EB00C4" w:rsidRPr="00B300B4">
        <w:rPr>
          <w:rFonts w:cs="Arial"/>
        </w:rPr>
        <w:t>umístění navazujících technologických zařízení na fyzickou infrastrukturu. V</w:t>
      </w:r>
      <w:r w:rsidR="00A425DA" w:rsidRPr="00CA4021">
        <w:rPr>
          <w:rFonts w:cs="Arial"/>
        </w:rPr>
        <w:t xml:space="preserve"> tomto </w:t>
      </w:r>
      <w:r w:rsidR="00EB00C4" w:rsidRPr="00CA4021">
        <w:rPr>
          <w:rFonts w:cs="Arial"/>
        </w:rPr>
        <w:t xml:space="preserve">případě </w:t>
      </w:r>
      <w:r w:rsidR="00A425DA" w:rsidRPr="00CA4021">
        <w:rPr>
          <w:rFonts w:cs="Arial"/>
        </w:rPr>
        <w:t>se cena</w:t>
      </w:r>
      <w:r w:rsidR="00EB00C4" w:rsidRPr="00CA4021">
        <w:rPr>
          <w:rFonts w:cs="Arial"/>
        </w:rPr>
        <w:t xml:space="preserve"> za pronájem technologické plochy </w:t>
      </w:r>
      <w:r w:rsidR="00A425DA" w:rsidRPr="00CA4021">
        <w:rPr>
          <w:rFonts w:cs="Arial"/>
        </w:rPr>
        <w:t>pro umístění skříní nebo stojanů</w:t>
      </w:r>
      <w:r w:rsidR="00EB00C4" w:rsidRPr="00CA4021">
        <w:rPr>
          <w:rFonts w:cs="Arial"/>
        </w:rPr>
        <w:t xml:space="preserve"> </w:t>
      </w:r>
      <w:r w:rsidR="00E566BD" w:rsidRPr="00CA4021">
        <w:rPr>
          <w:rFonts w:cs="Arial"/>
        </w:rPr>
        <w:t xml:space="preserve">zpravidla </w:t>
      </w:r>
      <w:r w:rsidR="00EB00C4" w:rsidRPr="00CA4021">
        <w:rPr>
          <w:rFonts w:cs="Arial"/>
        </w:rPr>
        <w:t>vypočte z pořizovací ceny plochy</w:t>
      </w:r>
      <w:r w:rsidR="004C23B2" w:rsidRPr="00A533AC">
        <w:rPr>
          <w:rFonts w:cs="Arial"/>
        </w:rPr>
        <w:t>,</w:t>
      </w:r>
      <w:r w:rsidR="00EB00C4" w:rsidRPr="00A533AC">
        <w:rPr>
          <w:rFonts w:cs="Arial"/>
        </w:rPr>
        <w:t xml:space="preserve"> </w:t>
      </w:r>
      <w:r w:rsidR="008E36F4" w:rsidRPr="009B2DD6">
        <w:rPr>
          <w:rFonts w:cs="Arial"/>
        </w:rPr>
        <w:t>případně z</w:t>
      </w:r>
      <w:r w:rsidR="00EB00C4" w:rsidRPr="009B2DD6">
        <w:rPr>
          <w:rFonts w:cs="Arial"/>
        </w:rPr>
        <w:t xml:space="preserve"> </w:t>
      </w:r>
      <w:r w:rsidR="00A425DA" w:rsidRPr="00AF28AB">
        <w:rPr>
          <w:rFonts w:cs="Arial"/>
        </w:rPr>
        <w:t xml:space="preserve">nákladů na </w:t>
      </w:r>
      <w:r w:rsidR="00EB00C4" w:rsidRPr="00AF28AB">
        <w:rPr>
          <w:rFonts w:cs="Arial"/>
        </w:rPr>
        <w:t>náj</w:t>
      </w:r>
      <w:r w:rsidR="00A425DA" w:rsidRPr="00AF28AB">
        <w:rPr>
          <w:rFonts w:cs="Arial"/>
        </w:rPr>
        <w:t>e</w:t>
      </w:r>
      <w:r w:rsidR="00EB00C4" w:rsidRPr="008A1875">
        <w:rPr>
          <w:rFonts w:cs="Arial"/>
        </w:rPr>
        <w:t>m</w:t>
      </w:r>
      <w:r w:rsidR="00A425DA" w:rsidRPr="008A1875">
        <w:rPr>
          <w:rFonts w:cs="Arial"/>
        </w:rPr>
        <w:t xml:space="preserve"> od </w:t>
      </w:r>
      <w:r w:rsidR="008E36F4" w:rsidRPr="008A1875">
        <w:rPr>
          <w:rFonts w:cs="Arial"/>
        </w:rPr>
        <w:t xml:space="preserve">externích </w:t>
      </w:r>
      <w:r w:rsidR="00936BD6" w:rsidRPr="008A1875">
        <w:rPr>
          <w:rFonts w:cs="Arial"/>
        </w:rPr>
        <w:t>poskytovatelů</w:t>
      </w:r>
      <w:r w:rsidR="00EB00C4" w:rsidRPr="008A1875">
        <w:rPr>
          <w:rFonts w:cs="Arial"/>
        </w:rPr>
        <w:t>.</w:t>
      </w:r>
      <w:r w:rsidR="00E452AC" w:rsidRPr="008A1875">
        <w:rPr>
          <w:rFonts w:cs="Arial"/>
        </w:rPr>
        <w:t xml:space="preserve"> </w:t>
      </w:r>
    </w:p>
    <w:p w14:paraId="33EB45F7" w14:textId="77777777" w:rsidR="00E452AC" w:rsidRPr="00CA4021" w:rsidRDefault="009B7D22" w:rsidP="00F67923">
      <w:pPr>
        <w:pStyle w:val="Vvojcen-zkladntext"/>
        <w:rPr>
          <w:rFonts w:cs="Arial"/>
        </w:rPr>
      </w:pPr>
      <w:r w:rsidRPr="00CA4021">
        <w:rPr>
          <w:rFonts w:cs="Arial"/>
        </w:rPr>
        <w:t>Pořizovací n</w:t>
      </w:r>
      <w:r w:rsidR="00E452AC" w:rsidRPr="00CA4021">
        <w:rPr>
          <w:rFonts w:cs="Arial"/>
        </w:rPr>
        <w:t>áklady na 1 metr</w:t>
      </w:r>
      <w:r w:rsidR="00E452AC" w:rsidRPr="00CA4021">
        <w:rPr>
          <w:rFonts w:cs="Arial"/>
          <w:vertAlign w:val="superscript"/>
        </w:rPr>
        <w:t xml:space="preserve">2 </w:t>
      </w:r>
      <w:r w:rsidR="00E452AC" w:rsidRPr="00CA4021">
        <w:rPr>
          <w:rFonts w:cs="Arial"/>
        </w:rPr>
        <w:t>technologické plochy v</w:t>
      </w:r>
      <w:r w:rsidR="008E36F4" w:rsidRPr="00CA4021">
        <w:rPr>
          <w:rFonts w:cs="Arial"/>
        </w:rPr>
        <w:t> </w:t>
      </w:r>
      <w:r w:rsidR="00E452AC" w:rsidRPr="00CA4021">
        <w:rPr>
          <w:rFonts w:cs="Arial"/>
        </w:rPr>
        <w:t>budově</w:t>
      </w:r>
      <w:r w:rsidR="008E36F4" w:rsidRPr="00CA4021">
        <w:rPr>
          <w:rFonts w:cs="Arial"/>
        </w:rPr>
        <w:t>:</w:t>
      </w:r>
    </w:p>
    <w:p w14:paraId="63E7F1DD" w14:textId="77777777" w:rsidR="00E566BD" w:rsidRPr="000C234A" w:rsidRDefault="00E30BFE" w:rsidP="000C234A">
      <w:pPr>
        <w:pStyle w:val="Vvojcen-zkladntext"/>
        <w:pBdr>
          <w:top w:val="single" w:sz="4" w:space="1" w:color="auto"/>
          <w:left w:val="single" w:sz="4" w:space="4" w:color="auto"/>
          <w:bottom w:val="single" w:sz="4" w:space="1" w:color="auto"/>
          <w:right w:val="single" w:sz="4" w:space="4" w:color="auto"/>
        </w:pBdr>
        <w:rPr>
          <w:rFonts w:cs="Arial"/>
          <w:b/>
          <w:sz w:val="24"/>
          <w:szCs w:val="24"/>
        </w:rPr>
      </w:pPr>
      <m:oMathPara>
        <m:oMath>
          <m:sSup>
            <m:sSupPr>
              <m:ctrlPr>
                <w:rPr>
                  <w:rFonts w:ascii="Cambria Math" w:hAnsi="Cambria Math" w:cs="Arial"/>
                  <w:b/>
                  <w:i/>
                  <w:sz w:val="24"/>
                  <w:szCs w:val="24"/>
                </w:rPr>
              </m:ctrlPr>
            </m:sSupPr>
            <m:e>
              <m:r>
                <m:rPr>
                  <m:sty m:val="bi"/>
                </m:rPr>
                <w:rPr>
                  <w:rFonts w:ascii="Cambria Math" w:hAnsi="Cambria Math" w:cs="Arial"/>
                  <w:sz w:val="24"/>
                  <w:szCs w:val="24"/>
                </w:rPr>
                <m:t>M</m:t>
              </m:r>
              <m:r>
                <m:rPr>
                  <m:sty m:val="bi"/>
                </m:rPr>
                <w:rPr>
                  <w:rFonts w:ascii="Cambria Math" w:hAnsi="Cambria Math" w:cs="Arial" w:hint="eastAsia"/>
                  <w:sz w:val="24"/>
                  <w:szCs w:val="24"/>
                </w:rPr>
                <m:t>ě</m:t>
              </m:r>
              <m:r>
                <m:rPr>
                  <m:sty m:val="bi"/>
                </m:rPr>
                <w:rPr>
                  <w:rFonts w:ascii="Cambria Math" w:hAnsi="Cambria Math" w:cs="Arial"/>
                  <w:sz w:val="24"/>
                  <w:szCs w:val="24"/>
                </w:rPr>
                <m:t>s</m:t>
              </m:r>
              <m:r>
                <m:rPr>
                  <m:sty m:val="bi"/>
                </m:rPr>
                <w:rPr>
                  <w:rFonts w:ascii="Cambria Math" w:hAnsi="Cambria Math" w:cs="Arial" w:hint="eastAsia"/>
                  <w:sz w:val="24"/>
                  <w:szCs w:val="24"/>
                </w:rPr>
                <m:t>íč</m:t>
              </m:r>
              <m:r>
                <m:rPr>
                  <m:sty m:val="bi"/>
                </m:rPr>
                <w:rPr>
                  <w:rFonts w:ascii="Cambria Math" w:hAnsi="Cambria Math" w:cs="Arial"/>
                  <w:sz w:val="24"/>
                  <w:szCs w:val="24"/>
                </w:rPr>
                <m:t>n</m:t>
              </m:r>
              <m:r>
                <m:rPr>
                  <m:sty m:val="bi"/>
                </m:rPr>
                <w:rPr>
                  <w:rFonts w:ascii="Cambria Math" w:hAnsi="Cambria Math" w:cs="Arial" w:hint="eastAsia"/>
                  <w:sz w:val="24"/>
                  <w:szCs w:val="24"/>
                </w:rPr>
                <m:t>í</m:t>
              </m:r>
              <m:r>
                <m:rPr>
                  <m:sty m:val="bi"/>
                </m:rPr>
                <w:rPr>
                  <w:rFonts w:ascii="Cambria Math" w:hAnsi="Cambria Math" w:cs="Arial"/>
                  <w:sz w:val="24"/>
                  <w:szCs w:val="24"/>
                </w:rPr>
                <m:t xml:space="preserve"> pron</m:t>
              </m:r>
              <m:r>
                <m:rPr>
                  <m:sty m:val="bi"/>
                </m:rPr>
                <w:rPr>
                  <w:rFonts w:ascii="Cambria Math" w:hAnsi="Cambria Math" w:cs="Arial" w:hint="eastAsia"/>
                  <w:sz w:val="24"/>
                  <w:szCs w:val="24"/>
                </w:rPr>
                <m:t>á</m:t>
              </m:r>
              <m:r>
                <m:rPr>
                  <m:sty m:val="bi"/>
                </m:rPr>
                <w:rPr>
                  <w:rFonts w:ascii="Cambria Math" w:hAnsi="Cambria Math" w:cs="Arial"/>
                  <w:sz w:val="24"/>
                  <w:szCs w:val="24"/>
                </w:rPr>
                <m:t>jem 1 metru</m:t>
              </m:r>
            </m:e>
            <m:sup>
              <m:r>
                <m:rPr>
                  <m:sty m:val="bi"/>
                </m:rPr>
                <w:rPr>
                  <w:rFonts w:ascii="Cambria Math" w:hAnsi="Cambria Math" w:cs="Arial"/>
                  <w:sz w:val="24"/>
                  <w:szCs w:val="24"/>
                </w:rPr>
                <m:t>2</m:t>
              </m:r>
            </m:sup>
          </m:sSup>
          <m:r>
            <m:rPr>
              <m:sty m:val="bi"/>
            </m:rPr>
            <w:rPr>
              <w:rFonts w:ascii="Cambria Math" w:hAnsi="Cambria Math" w:cs="Arial"/>
              <w:sz w:val="24"/>
              <w:szCs w:val="24"/>
            </w:rPr>
            <m:t xml:space="preserve"> plochy=</m:t>
          </m:r>
          <m:f>
            <m:fPr>
              <m:ctrlPr>
                <w:rPr>
                  <w:rFonts w:ascii="Cambria Math" w:hAnsi="Cambria Math" w:cs="Arial"/>
                  <w:b/>
                  <w:i/>
                  <w:sz w:val="24"/>
                  <w:szCs w:val="24"/>
                </w:rPr>
              </m:ctrlPr>
            </m:fPr>
            <m:num>
              <m:r>
                <m:rPr>
                  <m:sty m:val="bi"/>
                </m:rPr>
                <w:rPr>
                  <w:rFonts w:ascii="Cambria Math" w:hAnsi="Cambria Math" w:cs="Arial"/>
                  <w:sz w:val="24"/>
                  <w:szCs w:val="24"/>
                </w:rPr>
                <m:t>C</m:t>
              </m:r>
            </m:num>
            <m:den>
              <m:r>
                <m:rPr>
                  <m:sty m:val="bi"/>
                </m:rPr>
                <w:rPr>
                  <w:rFonts w:ascii="Cambria Math" w:hAnsi="Cambria Math" w:cs="Arial"/>
                  <w:sz w:val="24"/>
                  <w:szCs w:val="24"/>
                </w:rPr>
                <m:t>12</m:t>
              </m:r>
            </m:den>
          </m:f>
          <m:r>
            <m:rPr>
              <m:sty m:val="bi"/>
            </m:rPr>
            <w:rPr>
              <w:rFonts w:ascii="Cambria Math" w:hAnsi="Cambria Math" w:cs="Arial" w:hint="eastAsia"/>
              <w:sz w:val="24"/>
              <w:szCs w:val="24"/>
            </w:rPr>
            <m:t>×</m:t>
          </m:r>
          <m:r>
            <m:rPr>
              <m:sty m:val="bi"/>
            </m:rPr>
            <w:rPr>
              <w:rFonts w:ascii="Cambria Math" w:hAnsi="Cambria Math" w:cs="Arial"/>
              <w:sz w:val="24"/>
              <w:szCs w:val="24"/>
            </w:rPr>
            <m:t>Koeficient sd</m:t>
          </m:r>
          <m:r>
            <m:rPr>
              <m:sty m:val="bi"/>
            </m:rPr>
            <w:rPr>
              <w:rFonts w:ascii="Cambria Math" w:hAnsi="Cambria Math" w:cs="Arial" w:hint="eastAsia"/>
              <w:sz w:val="24"/>
              <w:szCs w:val="24"/>
            </w:rPr>
            <m:t>í</m:t>
          </m:r>
          <m:r>
            <m:rPr>
              <m:sty m:val="bi"/>
            </m:rPr>
            <w:rPr>
              <w:rFonts w:ascii="Cambria Math" w:hAnsi="Cambria Math" w:cs="Arial"/>
              <w:sz w:val="24"/>
              <w:szCs w:val="24"/>
            </w:rPr>
            <m:t>len</m:t>
          </m:r>
          <m:r>
            <m:rPr>
              <m:sty m:val="bi"/>
            </m:rPr>
            <w:rPr>
              <w:rFonts w:ascii="Cambria Math" w:hAnsi="Cambria Math" w:cs="Arial" w:hint="eastAsia"/>
              <w:sz w:val="24"/>
              <w:szCs w:val="24"/>
            </w:rPr>
            <m:t>í</m:t>
          </m:r>
        </m:oMath>
      </m:oMathPara>
    </w:p>
    <w:p w14:paraId="5436A305" w14:textId="77777777" w:rsidR="00E566BD" w:rsidRPr="000C234A" w:rsidRDefault="00E566BD" w:rsidP="00E566BD">
      <w:pPr>
        <w:pStyle w:val="Vvojcen-zkladntext"/>
        <w:ind w:firstLine="0"/>
        <w:rPr>
          <w:rFonts w:cs="Arial"/>
        </w:rPr>
      </w:pPr>
      <w:r w:rsidRPr="000C234A">
        <w:rPr>
          <w:rFonts w:cs="Arial"/>
        </w:rPr>
        <w:t>kde</w:t>
      </w:r>
    </w:p>
    <w:p w14:paraId="4F18DAB2" w14:textId="77777777" w:rsidR="00E566BD" w:rsidRPr="000C234A" w:rsidRDefault="00E566BD" w:rsidP="00712B46">
      <w:pPr>
        <w:tabs>
          <w:tab w:val="left" w:pos="2127"/>
        </w:tabs>
        <w:overflowPunct/>
        <w:textAlignment w:val="auto"/>
        <w:rPr>
          <w:rFonts w:ascii="Arial" w:eastAsiaTheme="minorHAnsi" w:hAnsi="Arial" w:cs="Arial"/>
          <w:i/>
          <w:color w:val="000000"/>
          <w:lang w:eastAsia="en-US"/>
        </w:rPr>
      </w:pPr>
      <w:r w:rsidRPr="000C234A">
        <w:rPr>
          <w:rFonts w:ascii="Arial" w:eastAsiaTheme="minorHAnsi" w:hAnsi="Arial" w:cs="Arial"/>
          <w:i/>
          <w:color w:val="000000"/>
          <w:lang w:eastAsia="en-US"/>
        </w:rPr>
        <w:t xml:space="preserve">C </w:t>
      </w:r>
      <w:r w:rsidRPr="000C234A">
        <w:rPr>
          <w:rFonts w:ascii="Arial" w:eastAsiaTheme="minorHAnsi" w:hAnsi="Arial" w:cs="Arial"/>
          <w:i/>
          <w:color w:val="000000"/>
          <w:lang w:eastAsia="en-US"/>
        </w:rPr>
        <w:tab/>
        <w:t>roční kapitálová platba za 1 metr</w:t>
      </w:r>
      <w:r w:rsidRPr="000C234A">
        <w:rPr>
          <w:rFonts w:ascii="Arial" w:eastAsiaTheme="minorHAnsi" w:hAnsi="Arial" w:cs="Arial"/>
          <w:i/>
          <w:color w:val="000000"/>
          <w:vertAlign w:val="superscript"/>
          <w:lang w:eastAsia="en-US"/>
        </w:rPr>
        <w:t>2</w:t>
      </w:r>
      <w:r w:rsidRPr="000C234A">
        <w:rPr>
          <w:rFonts w:ascii="Arial" w:eastAsiaTheme="minorHAnsi" w:hAnsi="Arial" w:cs="Arial"/>
          <w:i/>
          <w:color w:val="000000"/>
          <w:lang w:eastAsia="en-US"/>
        </w:rPr>
        <w:t xml:space="preserve"> technologické plochy v budově v Kč, </w:t>
      </w:r>
    </w:p>
    <w:p w14:paraId="708FD620" w14:textId="3BC9DF84" w:rsidR="00B0298B" w:rsidRPr="00B05191" w:rsidRDefault="00E566BD" w:rsidP="000C234A">
      <w:pPr>
        <w:pStyle w:val="Vvojcen-zkladntext"/>
        <w:spacing w:before="0" w:after="0"/>
        <w:ind w:firstLine="0"/>
        <w:rPr>
          <w:rFonts w:cs="Arial"/>
        </w:rPr>
      </w:pPr>
      <w:r w:rsidRPr="000C234A">
        <w:rPr>
          <w:rFonts w:eastAsiaTheme="minorHAnsi" w:cs="Arial"/>
          <w:i/>
          <w:color w:val="000000"/>
          <w:sz w:val="20"/>
          <w:szCs w:val="20"/>
          <w:lang w:eastAsia="en-US"/>
        </w:rPr>
        <w:t xml:space="preserve">Koeficient sdílení </w:t>
      </w:r>
      <w:r w:rsidRPr="000C234A">
        <w:rPr>
          <w:rFonts w:eastAsiaTheme="minorHAnsi" w:cs="Arial"/>
          <w:i/>
          <w:color w:val="000000"/>
          <w:sz w:val="20"/>
          <w:szCs w:val="20"/>
          <w:lang w:eastAsia="en-US"/>
        </w:rPr>
        <w:tab/>
        <w:t>využití prvku oprávněnou osobou v %</w:t>
      </w:r>
      <w:r w:rsidR="009E38C7" w:rsidRPr="000C234A">
        <w:rPr>
          <w:rFonts w:eastAsiaTheme="minorHAnsi" w:cs="Arial"/>
          <w:i/>
          <w:color w:val="000000"/>
          <w:sz w:val="20"/>
          <w:szCs w:val="20"/>
          <w:lang w:eastAsia="en-US"/>
        </w:rPr>
        <w:t>.</w:t>
      </w:r>
    </w:p>
    <w:p w14:paraId="59168A0D" w14:textId="77777777" w:rsidR="00097988" w:rsidRPr="00B05191" w:rsidRDefault="00097988" w:rsidP="00F67923">
      <w:pPr>
        <w:pStyle w:val="Vvojcen-nadpis3"/>
      </w:pPr>
      <w:bookmarkStart w:id="100" w:name="_Toc484008765"/>
      <w:bookmarkStart w:id="101" w:name="_Toc484009757"/>
      <w:bookmarkStart w:id="102" w:name="_Toc484009814"/>
      <w:bookmarkStart w:id="103" w:name="_Toc484009871"/>
      <w:bookmarkStart w:id="104" w:name="_Toc484009949"/>
      <w:bookmarkStart w:id="105" w:name="_Toc484010727"/>
      <w:bookmarkStart w:id="106" w:name="_Toc496446441"/>
      <w:bookmarkStart w:id="107" w:name="_Toc496518795"/>
      <w:bookmarkEnd w:id="100"/>
      <w:bookmarkEnd w:id="101"/>
      <w:bookmarkEnd w:id="102"/>
      <w:bookmarkEnd w:id="103"/>
      <w:bookmarkEnd w:id="104"/>
      <w:bookmarkEnd w:id="105"/>
      <w:r w:rsidRPr="00B05191">
        <w:t>Anténní nosiče</w:t>
      </w:r>
      <w:bookmarkEnd w:id="106"/>
      <w:bookmarkEnd w:id="107"/>
    </w:p>
    <w:p w14:paraId="50BAFB73" w14:textId="77777777" w:rsidR="00EF6A4B" w:rsidRPr="00A533AC" w:rsidRDefault="00EF6A4B" w:rsidP="00F67923">
      <w:pPr>
        <w:pStyle w:val="Vvojcen-zkladntext"/>
        <w:rPr>
          <w:rFonts w:cs="Arial"/>
        </w:rPr>
      </w:pPr>
      <w:r w:rsidRPr="00B05191">
        <w:rPr>
          <w:rFonts w:cs="Arial"/>
        </w:rPr>
        <w:t xml:space="preserve">Jedná se o nástavbové konstrukce </w:t>
      </w:r>
      <w:r w:rsidR="008E36F4" w:rsidRPr="00B300B4">
        <w:rPr>
          <w:rFonts w:cs="Arial"/>
        </w:rPr>
        <w:t>v</w:t>
      </w:r>
      <w:r w:rsidRPr="00B300B4">
        <w:rPr>
          <w:rFonts w:cs="Arial"/>
        </w:rPr>
        <w:t> budová</w:t>
      </w:r>
      <w:r w:rsidR="008E36F4" w:rsidRPr="00B300B4">
        <w:rPr>
          <w:rFonts w:cs="Arial"/>
        </w:rPr>
        <w:t>ch</w:t>
      </w:r>
      <w:r w:rsidRPr="00B300B4">
        <w:rPr>
          <w:rFonts w:cs="Arial"/>
        </w:rPr>
        <w:t xml:space="preserve"> sloužící k umístění různých druhů anténních systémů </w:t>
      </w:r>
      <w:r w:rsidR="008E36F4" w:rsidRPr="00CA4021">
        <w:rPr>
          <w:rFonts w:cs="Arial"/>
        </w:rPr>
        <w:t xml:space="preserve">pro </w:t>
      </w:r>
      <w:r w:rsidRPr="00CA4021">
        <w:rPr>
          <w:rFonts w:cs="Arial"/>
        </w:rPr>
        <w:t>radiov</w:t>
      </w:r>
      <w:r w:rsidR="008E36F4" w:rsidRPr="00CA4021">
        <w:rPr>
          <w:rFonts w:cs="Arial"/>
        </w:rPr>
        <w:t>á</w:t>
      </w:r>
      <w:r w:rsidRPr="00CA4021">
        <w:rPr>
          <w:rFonts w:cs="Arial"/>
        </w:rPr>
        <w:t xml:space="preserve"> zařízení. Výpočet ceny </w:t>
      </w:r>
      <w:r w:rsidR="008E36F4" w:rsidRPr="00CA4021">
        <w:rPr>
          <w:rFonts w:cs="Arial"/>
        </w:rPr>
        <w:t>pronájm</w:t>
      </w:r>
      <w:r w:rsidR="00205F67" w:rsidRPr="00CA4021">
        <w:rPr>
          <w:rFonts w:cs="Arial"/>
        </w:rPr>
        <w:t>u</w:t>
      </w:r>
      <w:r w:rsidR="008E36F4" w:rsidRPr="00CA4021">
        <w:rPr>
          <w:rFonts w:cs="Arial"/>
        </w:rPr>
        <w:t xml:space="preserve"> </w:t>
      </w:r>
      <w:r w:rsidRPr="00CA4021">
        <w:rPr>
          <w:rFonts w:cs="Arial"/>
        </w:rPr>
        <w:t>prvk</w:t>
      </w:r>
      <w:r w:rsidR="00205F67" w:rsidRPr="00CA4021">
        <w:rPr>
          <w:rFonts w:cs="Arial"/>
        </w:rPr>
        <w:t>u</w:t>
      </w:r>
      <w:r w:rsidRPr="00CA4021">
        <w:rPr>
          <w:rFonts w:cs="Arial"/>
        </w:rPr>
        <w:t xml:space="preserve"> spadající</w:t>
      </w:r>
      <w:r w:rsidR="008E36F4" w:rsidRPr="00CA4021">
        <w:rPr>
          <w:rFonts w:cs="Arial"/>
        </w:rPr>
        <w:t>h</w:t>
      </w:r>
      <w:r w:rsidR="00205F67" w:rsidRPr="00CA4021">
        <w:rPr>
          <w:rFonts w:cs="Arial"/>
        </w:rPr>
        <w:t>o</w:t>
      </w:r>
      <w:r w:rsidRPr="00CA4021">
        <w:rPr>
          <w:rFonts w:cs="Arial"/>
        </w:rPr>
        <w:t xml:space="preserve"> do této kategorie fyzické infrastruktury se provádí individuální kalkulací. </w:t>
      </w:r>
    </w:p>
    <w:p w14:paraId="304D45BE" w14:textId="0BF022BB" w:rsidR="003F6844" w:rsidRPr="001C3993" w:rsidRDefault="00205F67" w:rsidP="00F67923">
      <w:pPr>
        <w:pStyle w:val="Vvojcen-zkladntext"/>
        <w:rPr>
          <w:rFonts w:cs="Arial"/>
          <w:b/>
          <w:sz w:val="28"/>
          <w:szCs w:val="28"/>
        </w:rPr>
      </w:pPr>
      <w:r w:rsidRPr="009B2DD6">
        <w:rPr>
          <w:rFonts w:cs="Arial"/>
        </w:rPr>
        <w:t>C</w:t>
      </w:r>
      <w:r w:rsidR="00EF6A4B" w:rsidRPr="009B2DD6">
        <w:rPr>
          <w:rFonts w:cs="Arial"/>
        </w:rPr>
        <w:t xml:space="preserve">ena měsíčního pronájmu </w:t>
      </w:r>
      <w:r w:rsidR="008E36F4" w:rsidRPr="00AF28AB">
        <w:rPr>
          <w:rFonts w:cs="Arial"/>
        </w:rPr>
        <w:t>anténního nosiče</w:t>
      </w:r>
      <w:r w:rsidR="00EF6A4B" w:rsidRPr="00AF28AB">
        <w:rPr>
          <w:rFonts w:cs="Arial"/>
        </w:rPr>
        <w:t xml:space="preserve"> se </w:t>
      </w:r>
      <w:r w:rsidRPr="00AF28AB">
        <w:rPr>
          <w:rFonts w:cs="Arial"/>
        </w:rPr>
        <w:t xml:space="preserve">bude </w:t>
      </w:r>
      <w:r w:rsidR="009E38C7" w:rsidRPr="008A1875">
        <w:rPr>
          <w:rFonts w:cs="Arial"/>
        </w:rPr>
        <w:t xml:space="preserve">standardně </w:t>
      </w:r>
      <w:r w:rsidR="00EF6A4B" w:rsidRPr="008A1875">
        <w:rPr>
          <w:rFonts w:cs="Arial"/>
        </w:rPr>
        <w:t>sklád</w:t>
      </w:r>
      <w:r w:rsidRPr="008A1875">
        <w:rPr>
          <w:rFonts w:cs="Arial"/>
        </w:rPr>
        <w:t>at</w:t>
      </w:r>
      <w:r w:rsidR="00EF6A4B" w:rsidRPr="008A1875">
        <w:rPr>
          <w:rFonts w:cs="Arial"/>
        </w:rPr>
        <w:t xml:space="preserve"> </w:t>
      </w:r>
      <w:r w:rsidRPr="00BF6EEA">
        <w:rPr>
          <w:rFonts w:cs="Arial"/>
        </w:rPr>
        <w:t>z pořizovacích nákladů daného prvku</w:t>
      </w:r>
      <w:r w:rsidR="00EF6A4B" w:rsidRPr="00BF6EEA">
        <w:rPr>
          <w:rFonts w:cs="Arial"/>
        </w:rPr>
        <w:t xml:space="preserve">, </w:t>
      </w:r>
      <w:r w:rsidR="00936BD6" w:rsidRPr="00BF6EEA">
        <w:rPr>
          <w:rFonts w:cs="Arial"/>
        </w:rPr>
        <w:t>zohledňující procento</w:t>
      </w:r>
      <w:r w:rsidR="00EF6A4B" w:rsidRPr="00BF6EEA">
        <w:rPr>
          <w:rFonts w:cs="Arial"/>
        </w:rPr>
        <w:t xml:space="preserve"> sdílení </w:t>
      </w:r>
      <w:r w:rsidR="00AA167E" w:rsidRPr="00BF6EEA">
        <w:rPr>
          <w:rFonts w:cs="Arial"/>
        </w:rPr>
        <w:t xml:space="preserve">s </w:t>
      </w:r>
      <w:r w:rsidR="00EF6A4B" w:rsidRPr="00BF6EEA">
        <w:rPr>
          <w:rFonts w:cs="Arial"/>
        </w:rPr>
        <w:t xml:space="preserve">dalšími </w:t>
      </w:r>
      <w:r w:rsidR="00AA167E" w:rsidRPr="00BF6EEA">
        <w:rPr>
          <w:rFonts w:cs="Arial"/>
        </w:rPr>
        <w:t>uživateli</w:t>
      </w:r>
      <w:r w:rsidR="00900DE3" w:rsidRPr="00BF6EEA">
        <w:rPr>
          <w:rFonts w:cs="Arial"/>
        </w:rPr>
        <w:t>, resp. přírůstkové využití tohoto prvku oprávněnou osobou, a to v</w:t>
      </w:r>
      <w:r w:rsidR="00900DE3" w:rsidRPr="00436AFC">
        <w:rPr>
          <w:rFonts w:cs="Arial"/>
        </w:rPr>
        <w:t xml:space="preserve"> závislosti </w:t>
      </w:r>
      <w:r w:rsidR="00900DE3" w:rsidRPr="002A0BB4">
        <w:rPr>
          <w:rFonts w:cs="Arial"/>
        </w:rPr>
        <w:t>na typu povinné osoby (viz výše)</w:t>
      </w:r>
      <w:r w:rsidR="00EF6A4B" w:rsidRPr="002A0BB4">
        <w:rPr>
          <w:rFonts w:cs="Arial"/>
        </w:rPr>
        <w:t>.</w:t>
      </w:r>
    </w:p>
    <w:p w14:paraId="1F795122" w14:textId="77777777" w:rsidR="008E36F4" w:rsidRPr="001C3993" w:rsidRDefault="000A4AEB" w:rsidP="00F67923">
      <w:pPr>
        <w:pStyle w:val="Vvojcen-zkladntext"/>
        <w:rPr>
          <w:rFonts w:cs="Arial"/>
        </w:rPr>
      </w:pPr>
      <w:r w:rsidRPr="001C3993">
        <w:rPr>
          <w:rFonts w:cs="Arial"/>
        </w:rPr>
        <w:t>Pořizovací náklady na 1 anténní nosič</w:t>
      </w:r>
      <w:r w:rsidR="008E36F4" w:rsidRPr="001C3993">
        <w:rPr>
          <w:rFonts w:cs="Arial"/>
        </w:rPr>
        <w:t>:</w:t>
      </w:r>
    </w:p>
    <w:p w14:paraId="0C2A474B" w14:textId="77777777" w:rsidR="009E38C7" w:rsidRPr="000C234A" w:rsidRDefault="001C3993" w:rsidP="000C234A">
      <w:pPr>
        <w:pStyle w:val="Vvojcen-zkladntext"/>
        <w:pBdr>
          <w:top w:val="single" w:sz="4" w:space="1" w:color="auto"/>
          <w:left w:val="single" w:sz="4" w:space="4" w:color="auto"/>
          <w:bottom w:val="single" w:sz="4" w:space="1" w:color="auto"/>
          <w:right w:val="single" w:sz="4" w:space="4" w:color="auto"/>
        </w:pBdr>
        <w:rPr>
          <w:rFonts w:cs="Arial"/>
          <w:b/>
          <w:sz w:val="24"/>
          <w:szCs w:val="24"/>
        </w:rPr>
      </w:pPr>
      <m:oMathPara>
        <m:oMath>
          <m:r>
            <m:rPr>
              <m:sty m:val="bi"/>
            </m:rPr>
            <w:rPr>
              <w:rFonts w:ascii="Cambria Math" w:hAnsi="Cambria Math" w:cs="Arial"/>
              <w:sz w:val="24"/>
              <w:szCs w:val="24"/>
            </w:rPr>
            <m:t>M</m:t>
          </m:r>
          <m:r>
            <m:rPr>
              <m:sty m:val="bi"/>
            </m:rPr>
            <w:rPr>
              <w:rFonts w:ascii="Cambria Math" w:hAnsi="Cambria Math" w:cs="Arial" w:hint="eastAsia"/>
              <w:sz w:val="24"/>
              <w:szCs w:val="24"/>
            </w:rPr>
            <m:t>ě</m:t>
          </m:r>
          <m:r>
            <m:rPr>
              <m:sty m:val="bi"/>
            </m:rPr>
            <w:rPr>
              <w:rFonts w:ascii="Cambria Math" w:hAnsi="Cambria Math" w:cs="Arial"/>
              <w:sz w:val="24"/>
              <w:szCs w:val="24"/>
            </w:rPr>
            <m:t>s</m:t>
          </m:r>
          <m:r>
            <m:rPr>
              <m:sty m:val="bi"/>
            </m:rPr>
            <w:rPr>
              <w:rFonts w:ascii="Cambria Math" w:hAnsi="Cambria Math" w:cs="Arial" w:hint="eastAsia"/>
              <w:sz w:val="24"/>
              <w:szCs w:val="24"/>
            </w:rPr>
            <m:t>íč</m:t>
          </m:r>
          <m:r>
            <m:rPr>
              <m:sty m:val="bi"/>
            </m:rPr>
            <w:rPr>
              <w:rFonts w:ascii="Cambria Math" w:hAnsi="Cambria Math" w:cs="Arial"/>
              <w:sz w:val="24"/>
              <w:szCs w:val="24"/>
            </w:rPr>
            <m:t>n</m:t>
          </m:r>
          <m:r>
            <m:rPr>
              <m:sty m:val="bi"/>
            </m:rPr>
            <w:rPr>
              <w:rFonts w:ascii="Cambria Math" w:hAnsi="Cambria Math" w:cs="Arial" w:hint="eastAsia"/>
              <w:sz w:val="24"/>
              <w:szCs w:val="24"/>
            </w:rPr>
            <m:t>í</m:t>
          </m:r>
          <m:r>
            <m:rPr>
              <m:sty m:val="bi"/>
            </m:rPr>
            <w:rPr>
              <w:rFonts w:ascii="Cambria Math" w:hAnsi="Cambria Math" w:cs="Arial"/>
              <w:sz w:val="24"/>
              <w:szCs w:val="24"/>
            </w:rPr>
            <m:t xml:space="preserve"> pron</m:t>
          </m:r>
          <m:r>
            <m:rPr>
              <m:sty m:val="bi"/>
            </m:rPr>
            <w:rPr>
              <w:rFonts w:ascii="Cambria Math" w:hAnsi="Cambria Math" w:cs="Arial" w:hint="eastAsia"/>
              <w:sz w:val="24"/>
              <w:szCs w:val="24"/>
            </w:rPr>
            <m:t>á</m:t>
          </m:r>
          <m:r>
            <m:rPr>
              <m:sty m:val="bi"/>
            </m:rPr>
            <w:rPr>
              <w:rFonts w:ascii="Cambria Math" w:hAnsi="Cambria Math" w:cs="Arial"/>
              <w:sz w:val="24"/>
              <w:szCs w:val="24"/>
            </w:rPr>
            <m:t>jem anténního nosiče=</m:t>
          </m:r>
          <m:f>
            <m:fPr>
              <m:ctrlPr>
                <w:rPr>
                  <w:rFonts w:ascii="Cambria Math" w:hAnsi="Cambria Math" w:cs="Arial"/>
                  <w:b/>
                  <w:i/>
                  <w:sz w:val="24"/>
                  <w:szCs w:val="24"/>
                </w:rPr>
              </m:ctrlPr>
            </m:fPr>
            <m:num>
              <m:r>
                <m:rPr>
                  <m:sty m:val="bi"/>
                </m:rPr>
                <w:rPr>
                  <w:rFonts w:ascii="Cambria Math" w:hAnsi="Cambria Math" w:cs="Arial"/>
                  <w:sz w:val="24"/>
                  <w:szCs w:val="24"/>
                </w:rPr>
                <m:t>C</m:t>
              </m:r>
            </m:num>
            <m:den>
              <m:r>
                <m:rPr>
                  <m:sty m:val="bi"/>
                </m:rPr>
                <w:rPr>
                  <w:rFonts w:ascii="Cambria Math" w:hAnsi="Cambria Math" w:cs="Arial"/>
                  <w:sz w:val="24"/>
                  <w:szCs w:val="24"/>
                </w:rPr>
                <m:t>12</m:t>
              </m:r>
            </m:den>
          </m:f>
          <m:r>
            <m:rPr>
              <m:sty m:val="bi"/>
            </m:rPr>
            <w:rPr>
              <w:rFonts w:ascii="Cambria Math" w:hAnsi="Cambria Math" w:cs="Arial" w:hint="eastAsia"/>
              <w:sz w:val="24"/>
              <w:szCs w:val="24"/>
            </w:rPr>
            <m:t>×</m:t>
          </m:r>
          <m:r>
            <m:rPr>
              <m:sty m:val="bi"/>
            </m:rPr>
            <w:rPr>
              <w:rFonts w:ascii="Cambria Math" w:hAnsi="Cambria Math" w:cs="Arial"/>
              <w:sz w:val="24"/>
              <w:szCs w:val="24"/>
            </w:rPr>
            <m:t>Koeficient sd</m:t>
          </m:r>
          <m:r>
            <m:rPr>
              <m:sty m:val="bi"/>
            </m:rPr>
            <w:rPr>
              <w:rFonts w:ascii="Cambria Math" w:hAnsi="Cambria Math" w:cs="Arial" w:hint="eastAsia"/>
              <w:sz w:val="24"/>
              <w:szCs w:val="24"/>
            </w:rPr>
            <m:t>í</m:t>
          </m:r>
          <m:r>
            <m:rPr>
              <m:sty m:val="bi"/>
            </m:rPr>
            <w:rPr>
              <w:rFonts w:ascii="Cambria Math" w:hAnsi="Cambria Math" w:cs="Arial"/>
              <w:sz w:val="24"/>
              <w:szCs w:val="24"/>
            </w:rPr>
            <m:t>lení</m:t>
          </m:r>
        </m:oMath>
      </m:oMathPara>
    </w:p>
    <w:p w14:paraId="4CFDB5BA" w14:textId="77777777" w:rsidR="009E38C7" w:rsidRPr="000C234A" w:rsidRDefault="009E38C7" w:rsidP="009E38C7">
      <w:pPr>
        <w:pStyle w:val="Vvojcen-zkladntext"/>
        <w:ind w:firstLine="0"/>
        <w:rPr>
          <w:rFonts w:cs="Arial"/>
        </w:rPr>
      </w:pPr>
      <w:r w:rsidRPr="000C234A">
        <w:rPr>
          <w:rFonts w:cs="Arial"/>
        </w:rPr>
        <w:t>kde</w:t>
      </w:r>
    </w:p>
    <w:p w14:paraId="3C31843A" w14:textId="77777777" w:rsidR="009E38C7" w:rsidRPr="000C234A" w:rsidRDefault="009E38C7" w:rsidP="00712B46">
      <w:pPr>
        <w:tabs>
          <w:tab w:val="left" w:pos="2127"/>
        </w:tabs>
        <w:overflowPunct/>
        <w:textAlignment w:val="auto"/>
        <w:rPr>
          <w:rFonts w:ascii="Arial" w:eastAsiaTheme="minorHAnsi" w:hAnsi="Arial" w:cs="Arial"/>
          <w:i/>
          <w:color w:val="000000"/>
          <w:lang w:eastAsia="en-US"/>
        </w:rPr>
      </w:pPr>
      <w:r w:rsidRPr="000C234A">
        <w:rPr>
          <w:rFonts w:ascii="Arial" w:eastAsiaTheme="minorHAnsi" w:hAnsi="Arial" w:cs="Arial"/>
          <w:i/>
          <w:color w:val="000000"/>
          <w:lang w:eastAsia="en-US"/>
        </w:rPr>
        <w:t xml:space="preserve">C </w:t>
      </w:r>
      <w:r w:rsidRPr="000C234A">
        <w:rPr>
          <w:rFonts w:ascii="Arial" w:eastAsiaTheme="minorHAnsi" w:hAnsi="Arial" w:cs="Arial"/>
          <w:i/>
          <w:color w:val="000000"/>
          <w:lang w:eastAsia="en-US"/>
        </w:rPr>
        <w:tab/>
        <w:t xml:space="preserve">roční kapitálová platba za 1 kus anténního nosiče v Kč, </w:t>
      </w:r>
    </w:p>
    <w:p w14:paraId="6F6C5DFD" w14:textId="095907F6" w:rsidR="003F6844" w:rsidRPr="00B05191" w:rsidRDefault="009E38C7" w:rsidP="000C234A">
      <w:pPr>
        <w:pStyle w:val="Vvojcen-zkladntext"/>
        <w:spacing w:before="0" w:after="0"/>
        <w:ind w:firstLine="0"/>
        <w:rPr>
          <w:rFonts w:cs="Arial"/>
        </w:rPr>
      </w:pPr>
      <w:r w:rsidRPr="000C234A">
        <w:rPr>
          <w:rFonts w:eastAsiaTheme="minorHAnsi" w:cs="Arial"/>
          <w:i/>
          <w:color w:val="000000"/>
          <w:sz w:val="20"/>
          <w:szCs w:val="20"/>
          <w:lang w:eastAsia="en-US"/>
        </w:rPr>
        <w:t xml:space="preserve">Koeficient sdílení </w:t>
      </w:r>
      <w:r w:rsidRPr="000C234A">
        <w:rPr>
          <w:rFonts w:eastAsiaTheme="minorHAnsi" w:cs="Arial"/>
          <w:i/>
          <w:color w:val="000000"/>
          <w:sz w:val="20"/>
          <w:szCs w:val="20"/>
          <w:lang w:eastAsia="en-US"/>
        </w:rPr>
        <w:tab/>
        <w:t>využití prvku oprávněnou osobou v %.</w:t>
      </w:r>
    </w:p>
    <w:p w14:paraId="2B5EB237" w14:textId="77777777" w:rsidR="00097988" w:rsidRPr="00B05191" w:rsidRDefault="00097988" w:rsidP="00F67923">
      <w:pPr>
        <w:pStyle w:val="Vvojcen-nadpis3"/>
        <w:rPr>
          <w:color w:val="000000" w:themeColor="text1"/>
        </w:rPr>
      </w:pPr>
      <w:bookmarkStart w:id="108" w:name="_Toc484008767"/>
      <w:bookmarkStart w:id="109" w:name="_Toc484009759"/>
      <w:bookmarkStart w:id="110" w:name="_Toc484009816"/>
      <w:bookmarkStart w:id="111" w:name="_Toc484009873"/>
      <w:bookmarkStart w:id="112" w:name="_Toc484009951"/>
      <w:bookmarkStart w:id="113" w:name="_Toc484010729"/>
      <w:bookmarkStart w:id="114" w:name="_Toc496446442"/>
      <w:bookmarkStart w:id="115" w:name="_Toc496518796"/>
      <w:bookmarkEnd w:id="108"/>
      <w:bookmarkEnd w:id="109"/>
      <w:bookmarkEnd w:id="110"/>
      <w:bookmarkEnd w:id="111"/>
      <w:bookmarkEnd w:id="112"/>
      <w:bookmarkEnd w:id="113"/>
      <w:r w:rsidRPr="00B05191">
        <w:t>Věže</w:t>
      </w:r>
      <w:bookmarkEnd w:id="114"/>
      <w:bookmarkEnd w:id="115"/>
    </w:p>
    <w:p w14:paraId="6AE7B2D5" w14:textId="77777777" w:rsidR="00AA167E" w:rsidRPr="00BF6EEA" w:rsidRDefault="00AA167E" w:rsidP="00F67923">
      <w:pPr>
        <w:pStyle w:val="Vvojcen-zkladntext"/>
        <w:rPr>
          <w:rFonts w:cs="Arial"/>
        </w:rPr>
      </w:pPr>
      <w:r w:rsidRPr="00B300B4">
        <w:rPr>
          <w:rFonts w:cs="Arial"/>
        </w:rPr>
        <w:t xml:space="preserve">Věž představuje </w:t>
      </w:r>
      <w:r w:rsidR="00F67B20" w:rsidRPr="00B300B4">
        <w:rPr>
          <w:rFonts w:cs="Arial"/>
        </w:rPr>
        <w:t xml:space="preserve">z pohledu typologie prvků fyzické infrastruktury </w:t>
      </w:r>
      <w:r w:rsidRPr="00B300B4">
        <w:rPr>
          <w:rFonts w:cs="Arial"/>
        </w:rPr>
        <w:t>rozsáhlejší a</w:t>
      </w:r>
      <w:r w:rsidR="00274CBF" w:rsidRPr="00B300B4">
        <w:rPr>
          <w:rFonts w:cs="Arial"/>
        </w:rPr>
        <w:t> </w:t>
      </w:r>
      <w:r w:rsidRPr="00B300B4">
        <w:rPr>
          <w:rFonts w:cs="Arial"/>
        </w:rPr>
        <w:t xml:space="preserve">komplexnější </w:t>
      </w:r>
      <w:r w:rsidR="00F67B20" w:rsidRPr="00B300B4">
        <w:rPr>
          <w:rFonts w:cs="Arial"/>
        </w:rPr>
        <w:t>form</w:t>
      </w:r>
      <w:r w:rsidRPr="00CA4021">
        <w:rPr>
          <w:rFonts w:cs="Arial"/>
        </w:rPr>
        <w:t xml:space="preserve">u stožáru, u které se předpokládá </w:t>
      </w:r>
      <w:r w:rsidR="00F67B20" w:rsidRPr="00CA4021">
        <w:rPr>
          <w:rFonts w:cs="Arial"/>
        </w:rPr>
        <w:t>využívání pro více účelů a technologií</w:t>
      </w:r>
      <w:r w:rsidR="007437B9" w:rsidRPr="00CA4021">
        <w:rPr>
          <w:rFonts w:cs="Arial"/>
        </w:rPr>
        <w:t xml:space="preserve">, např. </w:t>
      </w:r>
      <w:r w:rsidR="00936BD6" w:rsidRPr="00A533AC">
        <w:rPr>
          <w:rFonts w:cs="Arial"/>
        </w:rPr>
        <w:t xml:space="preserve">i </w:t>
      </w:r>
      <w:r w:rsidR="007437B9" w:rsidRPr="00A533AC">
        <w:rPr>
          <w:rFonts w:cs="Arial"/>
        </w:rPr>
        <w:t>jako rozhledny nebo vyhlídkové věže a zároveň</w:t>
      </w:r>
      <w:r w:rsidR="00936BD6" w:rsidRPr="009B2DD6">
        <w:rPr>
          <w:rFonts w:cs="Arial"/>
        </w:rPr>
        <w:t xml:space="preserve"> jako technologické</w:t>
      </w:r>
      <w:r w:rsidR="007437B9" w:rsidRPr="009B2DD6">
        <w:rPr>
          <w:rFonts w:cs="Arial"/>
        </w:rPr>
        <w:t xml:space="preserve"> komunikační středisk</w:t>
      </w:r>
      <w:r w:rsidR="00936BD6" w:rsidRPr="00AF28AB">
        <w:rPr>
          <w:rFonts w:cs="Arial"/>
        </w:rPr>
        <w:t>o</w:t>
      </w:r>
      <w:r w:rsidR="007437B9" w:rsidRPr="00AF28AB">
        <w:rPr>
          <w:rFonts w:cs="Arial"/>
        </w:rPr>
        <w:t>.</w:t>
      </w:r>
      <w:r w:rsidR="003825CE" w:rsidRPr="00AF28AB">
        <w:rPr>
          <w:rFonts w:cs="Arial"/>
        </w:rPr>
        <w:t xml:space="preserve"> </w:t>
      </w:r>
      <w:r w:rsidR="007437B9" w:rsidRPr="008A1875">
        <w:rPr>
          <w:rFonts w:cs="Arial"/>
        </w:rPr>
        <w:t>Při rozhodování o pořízení věže ne</w:t>
      </w:r>
      <w:r w:rsidR="00936BD6" w:rsidRPr="008A1875">
        <w:rPr>
          <w:rFonts w:cs="Arial"/>
        </w:rPr>
        <w:t>musí být tedy hlavním motivem pořízení specifického</w:t>
      </w:r>
      <w:r w:rsidR="007437B9" w:rsidRPr="008A1875">
        <w:rPr>
          <w:rFonts w:cs="Arial"/>
        </w:rPr>
        <w:t xml:space="preserve"> technologick</w:t>
      </w:r>
      <w:r w:rsidR="00936BD6" w:rsidRPr="008A1875">
        <w:rPr>
          <w:rFonts w:cs="Arial"/>
        </w:rPr>
        <w:t>ého</w:t>
      </w:r>
      <w:r w:rsidR="007437B9" w:rsidRPr="008A1875">
        <w:rPr>
          <w:rFonts w:cs="Arial"/>
        </w:rPr>
        <w:t xml:space="preserve"> prostor</w:t>
      </w:r>
      <w:r w:rsidR="00936BD6" w:rsidRPr="008A1875">
        <w:rPr>
          <w:rFonts w:cs="Arial"/>
        </w:rPr>
        <w:t>u</w:t>
      </w:r>
      <w:r w:rsidR="007437B9" w:rsidRPr="008A1875">
        <w:rPr>
          <w:rFonts w:cs="Arial"/>
        </w:rPr>
        <w:t xml:space="preserve">, ale půjde zřejmě o širší záměr a dlouhodobou strategii víceúčelového využívání s případnými mimoekonomickými efekty. </w:t>
      </w:r>
      <w:r w:rsidR="000E5336" w:rsidRPr="00BF6EEA">
        <w:rPr>
          <w:rFonts w:cs="Arial"/>
        </w:rPr>
        <w:t>Pro alokaci nákladů na výstavbu věže na instalovaný prvek sítě elektronických komunikací bude opět nezbytné stanovit míru sdílení věže jinými prvky či aktivitami, které mohou značně individuální</w:t>
      </w:r>
      <w:r w:rsidR="00010FEF" w:rsidRPr="00BF6EEA">
        <w:rPr>
          <w:rFonts w:cs="Arial"/>
        </w:rPr>
        <w:t>.</w:t>
      </w:r>
    </w:p>
    <w:p w14:paraId="55C480D3" w14:textId="77777777" w:rsidR="009E38C7" w:rsidRPr="00975ACC" w:rsidRDefault="009E38C7" w:rsidP="000C234A">
      <w:pPr>
        <w:pStyle w:val="Vvojcen-zkladntext"/>
        <w:keepNext/>
      </w:pPr>
      <w:r w:rsidRPr="00975ACC">
        <w:t xml:space="preserve">Pořizovací náklady na 1 kus </w:t>
      </w:r>
      <w:r w:rsidRPr="00B300B4">
        <w:t>sloupu</w:t>
      </w:r>
      <w:r w:rsidRPr="00975ACC">
        <w:t>/stožáru:</w:t>
      </w:r>
    </w:p>
    <w:p w14:paraId="6E8F0AC5" w14:textId="77777777" w:rsidR="009E38C7" w:rsidRPr="000C234A" w:rsidRDefault="001C3993" w:rsidP="000C234A">
      <w:pPr>
        <w:pStyle w:val="Vvojcen-zkladntext"/>
        <w:pBdr>
          <w:top w:val="single" w:sz="4" w:space="1" w:color="auto"/>
          <w:left w:val="single" w:sz="4" w:space="4" w:color="auto"/>
          <w:bottom w:val="single" w:sz="4" w:space="1" w:color="auto"/>
          <w:right w:val="single" w:sz="4" w:space="4" w:color="auto"/>
        </w:pBdr>
        <w:rPr>
          <w:rFonts w:cs="Arial"/>
          <w:b/>
          <w:sz w:val="24"/>
          <w:szCs w:val="24"/>
        </w:rPr>
      </w:pPr>
      <m:oMathPara>
        <m:oMath>
          <m:r>
            <m:rPr>
              <m:sty m:val="bi"/>
            </m:rPr>
            <w:rPr>
              <w:rFonts w:ascii="Cambria Math" w:hAnsi="Cambria Math" w:cs="Arial"/>
              <w:sz w:val="24"/>
              <w:szCs w:val="24"/>
            </w:rPr>
            <m:t>M</m:t>
          </m:r>
          <m:r>
            <m:rPr>
              <m:sty m:val="bi"/>
            </m:rPr>
            <w:rPr>
              <w:rFonts w:ascii="Cambria Math" w:hAnsi="Cambria Math" w:cs="Arial" w:hint="eastAsia"/>
              <w:sz w:val="24"/>
              <w:szCs w:val="24"/>
            </w:rPr>
            <m:t>ě</m:t>
          </m:r>
          <m:r>
            <m:rPr>
              <m:sty m:val="bi"/>
            </m:rPr>
            <w:rPr>
              <w:rFonts w:ascii="Cambria Math" w:hAnsi="Cambria Math" w:cs="Arial"/>
              <w:sz w:val="24"/>
              <w:szCs w:val="24"/>
            </w:rPr>
            <m:t>s</m:t>
          </m:r>
          <m:r>
            <m:rPr>
              <m:sty m:val="bi"/>
            </m:rPr>
            <w:rPr>
              <w:rFonts w:ascii="Cambria Math" w:hAnsi="Cambria Math" w:cs="Arial" w:hint="eastAsia"/>
              <w:sz w:val="24"/>
              <w:szCs w:val="24"/>
            </w:rPr>
            <m:t>íč</m:t>
          </m:r>
          <m:r>
            <m:rPr>
              <m:sty m:val="bi"/>
            </m:rPr>
            <w:rPr>
              <w:rFonts w:ascii="Cambria Math" w:hAnsi="Cambria Math" w:cs="Arial"/>
              <w:sz w:val="24"/>
              <w:szCs w:val="24"/>
            </w:rPr>
            <m:t>n</m:t>
          </m:r>
          <m:r>
            <m:rPr>
              <m:sty m:val="bi"/>
            </m:rPr>
            <w:rPr>
              <w:rFonts w:ascii="Cambria Math" w:hAnsi="Cambria Math" w:cs="Arial" w:hint="eastAsia"/>
              <w:sz w:val="24"/>
              <w:szCs w:val="24"/>
            </w:rPr>
            <m:t>í</m:t>
          </m:r>
          <m:r>
            <m:rPr>
              <m:sty m:val="bi"/>
            </m:rPr>
            <w:rPr>
              <w:rFonts w:ascii="Cambria Math" w:hAnsi="Cambria Math" w:cs="Arial"/>
              <w:sz w:val="24"/>
              <w:szCs w:val="24"/>
            </w:rPr>
            <m:t xml:space="preserve"> pron</m:t>
          </m:r>
          <m:r>
            <m:rPr>
              <m:sty m:val="bi"/>
            </m:rPr>
            <w:rPr>
              <w:rFonts w:ascii="Cambria Math" w:hAnsi="Cambria Math" w:cs="Arial" w:hint="eastAsia"/>
              <w:sz w:val="24"/>
              <w:szCs w:val="24"/>
            </w:rPr>
            <m:t>á</m:t>
          </m:r>
          <m:r>
            <m:rPr>
              <m:sty m:val="bi"/>
            </m:rPr>
            <w:rPr>
              <w:rFonts w:ascii="Cambria Math" w:hAnsi="Cambria Math" w:cs="Arial"/>
              <w:sz w:val="24"/>
              <w:szCs w:val="24"/>
            </w:rPr>
            <m:t>jem věže=</m:t>
          </m:r>
          <m:f>
            <m:fPr>
              <m:ctrlPr>
                <w:rPr>
                  <w:rFonts w:ascii="Cambria Math" w:hAnsi="Cambria Math" w:cs="Arial"/>
                  <w:b/>
                  <w:i/>
                  <w:sz w:val="24"/>
                  <w:szCs w:val="24"/>
                </w:rPr>
              </m:ctrlPr>
            </m:fPr>
            <m:num>
              <m:r>
                <m:rPr>
                  <m:sty m:val="bi"/>
                </m:rPr>
                <w:rPr>
                  <w:rFonts w:ascii="Cambria Math" w:hAnsi="Cambria Math" w:cs="Arial"/>
                  <w:sz w:val="24"/>
                  <w:szCs w:val="24"/>
                </w:rPr>
                <m:t>C</m:t>
              </m:r>
            </m:num>
            <m:den>
              <m:r>
                <m:rPr>
                  <m:sty m:val="bi"/>
                </m:rPr>
                <w:rPr>
                  <w:rFonts w:ascii="Cambria Math" w:hAnsi="Cambria Math" w:cs="Arial"/>
                  <w:sz w:val="24"/>
                  <w:szCs w:val="24"/>
                </w:rPr>
                <m:t>12</m:t>
              </m:r>
            </m:den>
          </m:f>
          <m:r>
            <m:rPr>
              <m:sty m:val="bi"/>
            </m:rPr>
            <w:rPr>
              <w:rFonts w:ascii="Cambria Math" w:hAnsi="Cambria Math" w:cs="Arial" w:hint="eastAsia"/>
              <w:sz w:val="24"/>
              <w:szCs w:val="24"/>
            </w:rPr>
            <m:t>×</m:t>
          </m:r>
          <m:r>
            <m:rPr>
              <m:sty m:val="bi"/>
            </m:rPr>
            <w:rPr>
              <w:rFonts w:ascii="Cambria Math" w:hAnsi="Cambria Math" w:cs="Arial"/>
              <w:sz w:val="24"/>
              <w:szCs w:val="24"/>
            </w:rPr>
            <m:t>Koeficient sd</m:t>
          </m:r>
          <m:r>
            <m:rPr>
              <m:sty m:val="bi"/>
            </m:rPr>
            <w:rPr>
              <w:rFonts w:ascii="Cambria Math" w:hAnsi="Cambria Math" w:cs="Arial" w:hint="eastAsia"/>
              <w:sz w:val="24"/>
              <w:szCs w:val="24"/>
            </w:rPr>
            <m:t>í</m:t>
          </m:r>
          <m:r>
            <m:rPr>
              <m:sty m:val="bi"/>
            </m:rPr>
            <w:rPr>
              <w:rFonts w:ascii="Cambria Math" w:hAnsi="Cambria Math" w:cs="Arial"/>
              <w:sz w:val="24"/>
              <w:szCs w:val="24"/>
            </w:rPr>
            <m:t>len</m:t>
          </m:r>
          <m:r>
            <m:rPr>
              <m:sty m:val="bi"/>
            </m:rPr>
            <w:rPr>
              <w:rFonts w:ascii="Cambria Math" w:hAnsi="Cambria Math" w:cs="Arial" w:hint="eastAsia"/>
              <w:sz w:val="24"/>
              <w:szCs w:val="24"/>
            </w:rPr>
            <m:t>í</m:t>
          </m:r>
        </m:oMath>
      </m:oMathPara>
    </w:p>
    <w:p w14:paraId="009D2BE5" w14:textId="77777777" w:rsidR="009E38C7" w:rsidRPr="000C234A" w:rsidRDefault="009E38C7" w:rsidP="009E38C7">
      <w:pPr>
        <w:pStyle w:val="Vvojcen-zkladntext"/>
        <w:ind w:firstLine="0"/>
        <w:rPr>
          <w:rFonts w:cs="Arial"/>
        </w:rPr>
      </w:pPr>
      <w:r w:rsidRPr="000C234A">
        <w:rPr>
          <w:rFonts w:cs="Arial"/>
        </w:rPr>
        <w:lastRenderedPageBreak/>
        <w:t>kde</w:t>
      </w:r>
    </w:p>
    <w:p w14:paraId="28A99B47" w14:textId="77777777" w:rsidR="009E38C7" w:rsidRPr="000C234A" w:rsidRDefault="009E38C7" w:rsidP="00712B46">
      <w:pPr>
        <w:tabs>
          <w:tab w:val="left" w:pos="2127"/>
        </w:tabs>
        <w:overflowPunct/>
        <w:textAlignment w:val="auto"/>
        <w:rPr>
          <w:rFonts w:ascii="Arial" w:eastAsiaTheme="minorHAnsi" w:hAnsi="Arial" w:cs="Arial"/>
          <w:i/>
          <w:color w:val="000000"/>
          <w:lang w:eastAsia="en-US"/>
        </w:rPr>
      </w:pPr>
      <w:r w:rsidRPr="000C234A">
        <w:rPr>
          <w:rFonts w:ascii="Arial" w:eastAsiaTheme="minorHAnsi" w:hAnsi="Arial" w:cs="Arial"/>
          <w:i/>
          <w:color w:val="000000"/>
          <w:lang w:eastAsia="en-US"/>
        </w:rPr>
        <w:t xml:space="preserve">C </w:t>
      </w:r>
      <w:r w:rsidRPr="000C234A">
        <w:rPr>
          <w:rFonts w:ascii="Arial" w:eastAsiaTheme="minorHAnsi" w:hAnsi="Arial" w:cs="Arial"/>
          <w:i/>
          <w:color w:val="000000"/>
          <w:lang w:eastAsia="en-US"/>
        </w:rPr>
        <w:tab/>
        <w:t xml:space="preserve">roční kapitálová platba za 1 kus </w:t>
      </w:r>
      <w:r w:rsidR="001E10CB" w:rsidRPr="000C234A">
        <w:rPr>
          <w:rFonts w:ascii="Arial" w:eastAsiaTheme="minorHAnsi" w:hAnsi="Arial" w:cs="Arial"/>
          <w:i/>
          <w:color w:val="000000"/>
          <w:lang w:eastAsia="en-US"/>
        </w:rPr>
        <w:t>věže</w:t>
      </w:r>
      <w:r w:rsidRPr="000C234A">
        <w:rPr>
          <w:rFonts w:ascii="Arial" w:eastAsiaTheme="minorHAnsi" w:hAnsi="Arial" w:cs="Arial"/>
          <w:i/>
          <w:color w:val="000000"/>
          <w:lang w:eastAsia="en-US"/>
        </w:rPr>
        <w:t xml:space="preserve"> v Kč, </w:t>
      </w:r>
    </w:p>
    <w:p w14:paraId="35A204E2" w14:textId="40528B25" w:rsidR="000E5336" w:rsidRPr="00B05191" w:rsidRDefault="009E38C7" w:rsidP="000C234A">
      <w:pPr>
        <w:pStyle w:val="Vvojcen-zkladntext"/>
        <w:spacing w:before="0" w:after="0"/>
        <w:ind w:firstLine="0"/>
        <w:rPr>
          <w:rFonts w:cs="Arial"/>
        </w:rPr>
      </w:pPr>
      <w:r w:rsidRPr="000C234A">
        <w:rPr>
          <w:rFonts w:eastAsiaTheme="minorHAnsi" w:cs="Arial"/>
          <w:i/>
          <w:color w:val="000000"/>
          <w:sz w:val="20"/>
          <w:szCs w:val="20"/>
          <w:lang w:eastAsia="en-US"/>
        </w:rPr>
        <w:t xml:space="preserve">Koeficient sdílení </w:t>
      </w:r>
      <w:r w:rsidRPr="000C234A">
        <w:rPr>
          <w:rFonts w:eastAsiaTheme="minorHAnsi" w:cs="Arial"/>
          <w:i/>
          <w:color w:val="000000"/>
          <w:sz w:val="20"/>
          <w:szCs w:val="20"/>
          <w:lang w:eastAsia="en-US"/>
        </w:rPr>
        <w:tab/>
        <w:t>využití prvku oprávněnou osobou v %.</w:t>
      </w:r>
    </w:p>
    <w:p w14:paraId="23A22B61" w14:textId="6D35C3E8" w:rsidR="00BC6BFD" w:rsidRPr="000C234A" w:rsidRDefault="00BC6BFD" w:rsidP="00BC6BFD">
      <w:pPr>
        <w:pStyle w:val="Vvojcen-zkladntext"/>
        <w:rPr>
          <w:rFonts w:cs="Arial"/>
        </w:rPr>
      </w:pPr>
      <w:r w:rsidRPr="000C234A">
        <w:rPr>
          <w:rFonts w:cs="Arial"/>
        </w:rPr>
        <w:t>Cena měsíčního pronájmu tohoto prvku fyzické infrastruktury bude vycházet z pořizovacích nákladů, zohledňující procento využití věže pro broadbandové služby, popř. sdílení s různými dalšími sítěmi a službami v případě, že provozovatelem dané věže je operátor elektronických komunikací</w:t>
      </w:r>
      <w:r w:rsidR="00900DE3" w:rsidRPr="000C234A">
        <w:rPr>
          <w:rFonts w:cs="Arial"/>
        </w:rPr>
        <w:t>, který</w:t>
      </w:r>
      <w:r w:rsidR="001E10CB" w:rsidRPr="000C234A">
        <w:rPr>
          <w:rFonts w:cs="Arial"/>
        </w:rPr>
        <w:t xml:space="preserve"> prostřednictvím zpřístupňované věže poskytuje</w:t>
      </w:r>
      <w:r w:rsidR="00900DE3" w:rsidRPr="000C234A">
        <w:rPr>
          <w:rFonts w:cs="Arial"/>
        </w:rPr>
        <w:t xml:space="preserve"> (či s velk</w:t>
      </w:r>
      <w:r w:rsidR="001E10CB" w:rsidRPr="000C234A">
        <w:rPr>
          <w:rFonts w:cs="Arial"/>
        </w:rPr>
        <w:t>ou pravděpodobností bude poskytovat</w:t>
      </w:r>
      <w:r w:rsidR="00900DE3" w:rsidRPr="000C234A">
        <w:rPr>
          <w:rFonts w:cs="Arial"/>
        </w:rPr>
        <w:t>)</w:t>
      </w:r>
      <w:r w:rsidR="001E10CB" w:rsidRPr="000C234A">
        <w:rPr>
          <w:rFonts w:cs="Arial"/>
        </w:rPr>
        <w:t xml:space="preserve"> služ</w:t>
      </w:r>
      <w:r w:rsidR="00900DE3" w:rsidRPr="000C234A">
        <w:rPr>
          <w:rFonts w:cs="Arial"/>
        </w:rPr>
        <w:t>b</w:t>
      </w:r>
      <w:r w:rsidR="001E10CB" w:rsidRPr="000C234A">
        <w:rPr>
          <w:rFonts w:cs="Arial"/>
        </w:rPr>
        <w:t>y</w:t>
      </w:r>
      <w:r w:rsidR="00E12029" w:rsidRPr="000C234A">
        <w:rPr>
          <w:rFonts w:cs="Arial"/>
        </w:rPr>
        <w:t xml:space="preserve"> využívající</w:t>
      </w:r>
      <w:r w:rsidR="00900DE3" w:rsidRPr="000C234A">
        <w:rPr>
          <w:rFonts w:cs="Arial"/>
        </w:rPr>
        <w:t xml:space="preserve"> vysokorychlostní sítě elektronických komunikací</w:t>
      </w:r>
      <w:r w:rsidRPr="000C234A">
        <w:rPr>
          <w:rFonts w:cs="Arial"/>
        </w:rPr>
        <w:t>. Prostřednictvím koeficientu využití (resp. sdílení) je umožněno přiřadit do ceny za službu pronájmu využití věže takovou výši nákladů, která bude odpovídat poměru využití prvku pro službu elektronických komunikací. Tento koeficient nelze pro všechny případy ex ante konkrétně stanovit, nicméně povinná osoba mimo okruh operátorů elektronických komunikací může zohlednit např. nosnost či jiný vhodný technický parametr věže. Pro povinné osoby z řad operátorů elektronických komunikací pak platí, že koeficient sdílení zohledňuje pouze aktuálně využívanou kapacitu prvku všemi operátory, nabízejícími služby elektronických komunikací, nikoliv tedy celou kapacitu dané věže (dané např. nosností).</w:t>
      </w:r>
    </w:p>
    <w:p w14:paraId="1F66FF28" w14:textId="25382986" w:rsidR="00BC6BFD" w:rsidRPr="00B05191" w:rsidRDefault="006E4C76" w:rsidP="000C234A">
      <w:pPr>
        <w:pStyle w:val="Vvojcen-zkladntext"/>
        <w:rPr>
          <w:rFonts w:cs="Arial"/>
        </w:rPr>
      </w:pPr>
      <w:r w:rsidRPr="000C234A">
        <w:rPr>
          <w:rFonts w:cs="Arial"/>
        </w:rPr>
        <w:t xml:space="preserve">K měsíční ceně pronájmu tohoto prvku fyzické infrastruktury lze následně přičíst ještě náklady na inkrementální dovybavení fyzické infrastruktury včetně montáže, pokud se dotčené osoby dohodnou, že tyto dodatečně vyvolané výdaje z důvodu sdílení se sítěmi elektronických komunikací nebudou oprávněnou osobou žádající o přístup uhrazeny již v rámci jednorázového vyrovnání. Pro výpočet měsíční ceny těchto dodatečných výdajů se již nevyužije výše uvedený koeficient sdílení, neboť </w:t>
      </w:r>
      <w:r w:rsidRPr="00B05191">
        <w:rPr>
          <w:rFonts w:cs="Arial"/>
        </w:rPr>
        <w:t>tyto dodatečně vyvolané náklady musí být oprávněnou osobou hrazeny v plné výši (ze 100 %), nikoliv jen z části, určené koeficientem využití.</w:t>
      </w:r>
      <w:r w:rsidRPr="000C234A">
        <w:rPr>
          <w:rFonts w:cs="Arial"/>
        </w:rPr>
        <w:t xml:space="preserve"> Roční kapitálová platba (C) se stanoví výpočtem podle vzorce v kapitole 2.1.</w:t>
      </w:r>
    </w:p>
    <w:p w14:paraId="4D576FFB" w14:textId="77777777" w:rsidR="00097988" w:rsidRPr="00975ACC" w:rsidRDefault="00097988" w:rsidP="00F67923">
      <w:pPr>
        <w:pStyle w:val="Vvojcen-nadpis3"/>
        <w:rPr>
          <w:color w:val="000000" w:themeColor="text1"/>
        </w:rPr>
      </w:pPr>
      <w:bookmarkStart w:id="116" w:name="_Toc484008769"/>
      <w:bookmarkStart w:id="117" w:name="_Toc484009761"/>
      <w:bookmarkStart w:id="118" w:name="_Toc484009818"/>
      <w:bookmarkStart w:id="119" w:name="_Toc484009875"/>
      <w:bookmarkStart w:id="120" w:name="_Toc484009953"/>
      <w:bookmarkStart w:id="121" w:name="_Toc484010731"/>
      <w:bookmarkStart w:id="122" w:name="_Toc496446443"/>
      <w:bookmarkStart w:id="123" w:name="_Toc496518797"/>
      <w:bookmarkEnd w:id="116"/>
      <w:bookmarkEnd w:id="117"/>
      <w:bookmarkEnd w:id="118"/>
      <w:bookmarkEnd w:id="119"/>
      <w:bookmarkEnd w:id="120"/>
      <w:bookmarkEnd w:id="121"/>
      <w:r w:rsidRPr="00975ACC">
        <w:t>Podpůrné konstrukce</w:t>
      </w:r>
      <w:bookmarkEnd w:id="122"/>
      <w:bookmarkEnd w:id="123"/>
    </w:p>
    <w:p w14:paraId="2E6FD0D8" w14:textId="77777777" w:rsidR="000A4AEB" w:rsidRPr="00B300B4" w:rsidRDefault="00010FEF" w:rsidP="00F67923">
      <w:pPr>
        <w:pStyle w:val="Vvojcen-zkladntext"/>
        <w:rPr>
          <w:rFonts w:cs="Arial"/>
        </w:rPr>
      </w:pPr>
      <w:r w:rsidRPr="00975ACC">
        <w:rPr>
          <w:rFonts w:cs="Arial"/>
        </w:rPr>
        <w:t xml:space="preserve">Může se jednat o libovolné stavební konstrukce, které </w:t>
      </w:r>
      <w:r w:rsidR="00601CA4" w:rsidRPr="00975ACC">
        <w:rPr>
          <w:rFonts w:cs="Arial"/>
        </w:rPr>
        <w:t>podporují nebo umožňují umístění jiných prvků fyzické infrastruktury nebo telekomunikačních technologií. Vzhledem k tomu, že nelze předem definovat, o jaký typ prvku se jedná, bude výpočet ceny podpůrné konstrukce proveden</w:t>
      </w:r>
      <w:r w:rsidR="00B8390A" w:rsidRPr="00B05191">
        <w:rPr>
          <w:rFonts w:cs="Arial"/>
        </w:rPr>
        <w:t xml:space="preserve"> vždy</w:t>
      </w:r>
      <w:r w:rsidR="00601CA4" w:rsidRPr="00B05191">
        <w:rPr>
          <w:rFonts w:cs="Arial"/>
        </w:rPr>
        <w:t xml:space="preserve"> individuální kalkulací podle obecně uplatňovaného schématu.</w:t>
      </w:r>
    </w:p>
    <w:p w14:paraId="12ABAE16" w14:textId="77777777" w:rsidR="00601CA4" w:rsidRPr="00CA4021" w:rsidRDefault="000A4AEB" w:rsidP="00F67923">
      <w:pPr>
        <w:pStyle w:val="Vvojcen-zkladntext"/>
        <w:rPr>
          <w:rFonts w:cs="Arial"/>
        </w:rPr>
      </w:pPr>
      <w:r w:rsidRPr="00CA4021">
        <w:rPr>
          <w:rFonts w:cs="Arial"/>
        </w:rPr>
        <w:t>Pořizovací n</w:t>
      </w:r>
      <w:r w:rsidR="00601CA4" w:rsidRPr="00CA4021">
        <w:rPr>
          <w:rFonts w:cs="Arial"/>
        </w:rPr>
        <w:t>áklady na podpůrnou konstrukci</w:t>
      </w:r>
      <w:r w:rsidR="008E36F4" w:rsidRPr="00CA4021">
        <w:rPr>
          <w:rFonts w:cs="Arial"/>
        </w:rPr>
        <w:t>:</w:t>
      </w:r>
    </w:p>
    <w:p w14:paraId="5F423DA2" w14:textId="77777777" w:rsidR="0092418D" w:rsidRPr="000C234A" w:rsidRDefault="001C3993" w:rsidP="000C234A">
      <w:pPr>
        <w:pStyle w:val="Vvojcen-zkladntext"/>
        <w:pBdr>
          <w:top w:val="single" w:sz="4" w:space="1" w:color="auto"/>
          <w:left w:val="single" w:sz="4" w:space="4" w:color="auto"/>
          <w:bottom w:val="single" w:sz="4" w:space="1" w:color="auto"/>
          <w:right w:val="single" w:sz="4" w:space="4" w:color="auto"/>
        </w:pBdr>
        <w:rPr>
          <w:rFonts w:cs="Arial"/>
          <w:b/>
          <w:sz w:val="24"/>
          <w:szCs w:val="24"/>
        </w:rPr>
      </w:pPr>
      <m:oMathPara>
        <m:oMath>
          <m:r>
            <m:rPr>
              <m:sty m:val="bi"/>
            </m:rPr>
            <w:rPr>
              <w:rFonts w:ascii="Cambria Math" w:hAnsi="Cambria Math" w:cs="Arial"/>
              <w:sz w:val="24"/>
              <w:szCs w:val="24"/>
            </w:rPr>
            <m:t>M</m:t>
          </m:r>
          <m:r>
            <m:rPr>
              <m:sty m:val="bi"/>
            </m:rPr>
            <w:rPr>
              <w:rFonts w:ascii="Cambria Math" w:hAnsi="Cambria Math" w:cs="Arial" w:hint="eastAsia"/>
              <w:sz w:val="24"/>
              <w:szCs w:val="24"/>
            </w:rPr>
            <m:t>ě</m:t>
          </m:r>
          <m:r>
            <m:rPr>
              <m:sty m:val="bi"/>
            </m:rPr>
            <w:rPr>
              <w:rFonts w:ascii="Cambria Math" w:hAnsi="Cambria Math" w:cs="Arial"/>
              <w:sz w:val="24"/>
              <w:szCs w:val="24"/>
            </w:rPr>
            <m:t>s</m:t>
          </m:r>
          <m:r>
            <m:rPr>
              <m:sty m:val="bi"/>
            </m:rPr>
            <w:rPr>
              <w:rFonts w:ascii="Cambria Math" w:hAnsi="Cambria Math" w:cs="Arial" w:hint="eastAsia"/>
              <w:sz w:val="24"/>
              <w:szCs w:val="24"/>
            </w:rPr>
            <m:t>íč</m:t>
          </m:r>
          <m:r>
            <m:rPr>
              <m:sty m:val="bi"/>
            </m:rPr>
            <w:rPr>
              <w:rFonts w:ascii="Cambria Math" w:hAnsi="Cambria Math" w:cs="Arial"/>
              <w:sz w:val="24"/>
              <w:szCs w:val="24"/>
            </w:rPr>
            <m:t>n</m:t>
          </m:r>
          <m:r>
            <m:rPr>
              <m:sty m:val="bi"/>
            </m:rPr>
            <w:rPr>
              <w:rFonts w:ascii="Cambria Math" w:hAnsi="Cambria Math" w:cs="Arial" w:hint="eastAsia"/>
              <w:sz w:val="24"/>
              <w:szCs w:val="24"/>
            </w:rPr>
            <m:t>í</m:t>
          </m:r>
          <m:r>
            <m:rPr>
              <m:sty m:val="bi"/>
            </m:rPr>
            <w:rPr>
              <w:rFonts w:ascii="Cambria Math" w:hAnsi="Cambria Math" w:cs="Arial"/>
              <w:sz w:val="24"/>
              <w:szCs w:val="24"/>
            </w:rPr>
            <m:t xml:space="preserve"> pron</m:t>
          </m:r>
          <m:r>
            <m:rPr>
              <m:sty m:val="bi"/>
            </m:rPr>
            <w:rPr>
              <w:rFonts w:ascii="Cambria Math" w:hAnsi="Cambria Math" w:cs="Arial" w:hint="eastAsia"/>
              <w:sz w:val="24"/>
              <w:szCs w:val="24"/>
            </w:rPr>
            <m:t>á</m:t>
          </m:r>
          <m:r>
            <m:rPr>
              <m:sty m:val="bi"/>
            </m:rPr>
            <w:rPr>
              <w:rFonts w:ascii="Cambria Math" w:hAnsi="Cambria Math" w:cs="Arial"/>
              <w:sz w:val="24"/>
              <w:szCs w:val="24"/>
            </w:rPr>
            <m:t>jem podpůrné konstrukce=</m:t>
          </m:r>
          <m:f>
            <m:fPr>
              <m:ctrlPr>
                <w:rPr>
                  <w:rFonts w:ascii="Cambria Math" w:hAnsi="Cambria Math" w:cs="Arial"/>
                  <w:b/>
                  <w:i/>
                  <w:sz w:val="24"/>
                  <w:szCs w:val="24"/>
                </w:rPr>
              </m:ctrlPr>
            </m:fPr>
            <m:num>
              <m:r>
                <m:rPr>
                  <m:sty m:val="bi"/>
                </m:rPr>
                <w:rPr>
                  <w:rFonts w:ascii="Cambria Math" w:hAnsi="Cambria Math" w:cs="Arial"/>
                  <w:sz w:val="24"/>
                  <w:szCs w:val="24"/>
                </w:rPr>
                <m:t>C</m:t>
              </m:r>
            </m:num>
            <m:den>
              <m:r>
                <m:rPr>
                  <m:sty m:val="bi"/>
                </m:rPr>
                <w:rPr>
                  <w:rFonts w:ascii="Cambria Math" w:hAnsi="Cambria Math" w:cs="Arial"/>
                  <w:sz w:val="24"/>
                  <w:szCs w:val="24"/>
                </w:rPr>
                <m:t>12</m:t>
              </m:r>
            </m:den>
          </m:f>
          <m:r>
            <m:rPr>
              <m:sty m:val="bi"/>
            </m:rPr>
            <w:rPr>
              <w:rFonts w:ascii="Cambria Math" w:hAnsi="Cambria Math" w:cs="Arial" w:hint="eastAsia"/>
              <w:sz w:val="24"/>
              <w:szCs w:val="24"/>
            </w:rPr>
            <m:t>×</m:t>
          </m:r>
          <m:r>
            <m:rPr>
              <m:sty m:val="bi"/>
            </m:rPr>
            <w:rPr>
              <w:rFonts w:ascii="Cambria Math" w:hAnsi="Cambria Math" w:cs="Arial"/>
              <w:sz w:val="24"/>
              <w:szCs w:val="24"/>
            </w:rPr>
            <m:t>Koeficient sd</m:t>
          </m:r>
          <m:r>
            <m:rPr>
              <m:sty m:val="bi"/>
            </m:rPr>
            <w:rPr>
              <w:rFonts w:ascii="Cambria Math" w:hAnsi="Cambria Math" w:cs="Arial" w:hint="eastAsia"/>
              <w:sz w:val="24"/>
              <w:szCs w:val="24"/>
            </w:rPr>
            <m:t>í</m:t>
          </m:r>
          <m:r>
            <m:rPr>
              <m:sty m:val="bi"/>
            </m:rPr>
            <w:rPr>
              <w:rFonts w:ascii="Cambria Math" w:hAnsi="Cambria Math" w:cs="Arial"/>
              <w:sz w:val="24"/>
              <w:szCs w:val="24"/>
            </w:rPr>
            <m:t>len</m:t>
          </m:r>
          <m:r>
            <m:rPr>
              <m:sty m:val="bi"/>
            </m:rPr>
            <w:rPr>
              <w:rFonts w:ascii="Cambria Math" w:hAnsi="Cambria Math" w:cs="Arial" w:hint="eastAsia"/>
              <w:sz w:val="24"/>
              <w:szCs w:val="24"/>
            </w:rPr>
            <m:t>í</m:t>
          </m:r>
        </m:oMath>
      </m:oMathPara>
    </w:p>
    <w:p w14:paraId="0B43602C" w14:textId="77777777" w:rsidR="0092418D" w:rsidRPr="000C234A" w:rsidRDefault="0092418D" w:rsidP="0092418D">
      <w:pPr>
        <w:pStyle w:val="Vvojcen-zkladntext"/>
        <w:ind w:firstLine="0"/>
        <w:rPr>
          <w:rFonts w:cs="Arial"/>
        </w:rPr>
      </w:pPr>
      <w:r w:rsidRPr="000C234A">
        <w:rPr>
          <w:rFonts w:cs="Arial"/>
        </w:rPr>
        <w:t>kde</w:t>
      </w:r>
    </w:p>
    <w:p w14:paraId="32CD362D" w14:textId="77777777" w:rsidR="0092418D" w:rsidRPr="000C234A" w:rsidRDefault="0092418D" w:rsidP="00712B46">
      <w:pPr>
        <w:tabs>
          <w:tab w:val="left" w:pos="2127"/>
        </w:tabs>
        <w:overflowPunct/>
        <w:textAlignment w:val="auto"/>
        <w:rPr>
          <w:rFonts w:ascii="Arial" w:eastAsiaTheme="minorHAnsi" w:hAnsi="Arial" w:cs="Arial"/>
          <w:i/>
          <w:color w:val="000000"/>
          <w:lang w:eastAsia="en-US"/>
        </w:rPr>
      </w:pPr>
      <w:r w:rsidRPr="000C234A">
        <w:rPr>
          <w:rFonts w:ascii="Arial" w:eastAsiaTheme="minorHAnsi" w:hAnsi="Arial" w:cs="Arial"/>
          <w:i/>
          <w:color w:val="000000"/>
          <w:lang w:eastAsia="en-US"/>
        </w:rPr>
        <w:t xml:space="preserve">C </w:t>
      </w:r>
      <w:r w:rsidRPr="000C234A">
        <w:rPr>
          <w:rFonts w:ascii="Arial" w:eastAsiaTheme="minorHAnsi" w:hAnsi="Arial" w:cs="Arial"/>
          <w:i/>
          <w:color w:val="000000"/>
          <w:lang w:eastAsia="en-US"/>
        </w:rPr>
        <w:tab/>
        <w:t xml:space="preserve">roční kapitálová platba za 1 kus podpůrné konstrukce v Kč, </w:t>
      </w:r>
    </w:p>
    <w:p w14:paraId="0660F0E4" w14:textId="75AE0E41" w:rsidR="00601CA4" w:rsidRPr="00B05191" w:rsidRDefault="0092418D" w:rsidP="000C234A">
      <w:pPr>
        <w:pStyle w:val="Vvojcen-zkladntext"/>
        <w:spacing w:before="0" w:after="0"/>
        <w:ind w:firstLine="0"/>
        <w:rPr>
          <w:rFonts w:cs="Arial"/>
        </w:rPr>
      </w:pPr>
      <w:r w:rsidRPr="000C234A">
        <w:rPr>
          <w:rFonts w:eastAsiaTheme="minorHAnsi" w:cs="Arial"/>
          <w:i/>
          <w:color w:val="000000"/>
          <w:sz w:val="20"/>
          <w:szCs w:val="20"/>
          <w:lang w:eastAsia="en-US"/>
        </w:rPr>
        <w:t xml:space="preserve">Koeficient sdílení </w:t>
      </w:r>
      <w:r w:rsidRPr="000C234A">
        <w:rPr>
          <w:rFonts w:eastAsiaTheme="minorHAnsi" w:cs="Arial"/>
          <w:i/>
          <w:color w:val="000000"/>
          <w:sz w:val="20"/>
          <w:szCs w:val="20"/>
          <w:lang w:eastAsia="en-US"/>
        </w:rPr>
        <w:tab/>
        <w:t>využití prvku oprávněnou osobou v %.</w:t>
      </w:r>
      <w:r w:rsidR="006B7AA2" w:rsidRPr="00B05191" w:rsidDel="006B7AA2">
        <w:rPr>
          <w:rFonts w:cs="Arial"/>
        </w:rPr>
        <w:t xml:space="preserve"> </w:t>
      </w:r>
    </w:p>
    <w:p w14:paraId="500611E6" w14:textId="77777777" w:rsidR="00953889" w:rsidRPr="000C234A" w:rsidRDefault="00953889" w:rsidP="00953889">
      <w:pPr>
        <w:pStyle w:val="Vvojcen-zkladntext"/>
        <w:rPr>
          <w:rFonts w:cs="Arial"/>
        </w:rPr>
      </w:pPr>
      <w:r w:rsidRPr="000C234A">
        <w:rPr>
          <w:rFonts w:cs="Arial"/>
        </w:rPr>
        <w:t>Cena měsíčního pronájmu tohoto prvku fyzické infrastruktury bude vycházet z pořizovacích nákladů, zohledňující procento využití podpůrné konstrukce pro broadbandové služby, popř. sdílení s různými dalšími sítěmi a službami v případě, že provozovatelem dané konstrukce je operátor elektronických komunikací</w:t>
      </w:r>
      <w:r w:rsidR="00AD0ED6" w:rsidRPr="000C234A">
        <w:rPr>
          <w:rFonts w:cs="Arial"/>
        </w:rPr>
        <w:t xml:space="preserve">, </w:t>
      </w:r>
      <w:r w:rsidR="00E12029" w:rsidRPr="000C234A">
        <w:rPr>
          <w:rFonts w:cs="Arial"/>
        </w:rPr>
        <w:t>který prostřednictvím zpřístupňované věže poskytuje (či s velkou pravděpodobností bude poskytovat) služby využívající vysokorychlostní sítě elektronických komunikací</w:t>
      </w:r>
      <w:r w:rsidRPr="000C234A">
        <w:rPr>
          <w:rFonts w:cs="Arial"/>
        </w:rPr>
        <w:t>. Prostřednictvím koeficientu využití (resp. sdílení) je umožněno přiřadit do ceny za službu pronájmu využití podpůrné konstrukce takovou výši nákladů, která bude odpovídat poměru využití prvku pro službu elektronických komunikací. Tento koeficient nelze pro všechny případy ex ante konkrétně stanovit, nicméně povinná osoba mimo okruh operátorů elektronických komunikací může zohlednit např. nosnost či jiný vhodný technický parametr podpůrné konstrukce. Pro povinné osoby z řad operátorů elektronických komunikací pak platí, že koeficient sdílení zohledňuje pouze aktuálně využívanou kapacitu prvku všemi operátory, nabízejícími služby elektronických komunikací, nikoliv tedy celou kapacitu dané konstrukce (dané např. nosností).</w:t>
      </w:r>
    </w:p>
    <w:p w14:paraId="32117CDC" w14:textId="30141D71" w:rsidR="007F7266" w:rsidRPr="00CA4021" w:rsidRDefault="00E12029" w:rsidP="000C234A">
      <w:pPr>
        <w:pStyle w:val="Vvojcen-zkladntext"/>
        <w:rPr>
          <w:rFonts w:cs="Arial"/>
        </w:rPr>
      </w:pPr>
      <w:r w:rsidRPr="000C234A">
        <w:rPr>
          <w:rFonts w:cs="Arial"/>
        </w:rPr>
        <w:lastRenderedPageBreak/>
        <w:t xml:space="preserve">K měsíční ceně pronájmu tohoto prvku fyzické infrastruktury lze následně přičíst ještě náklady na inkrementální dovybavení fyzické infrastruktury včetně montáže, pokud se dotčené osoby dohodnou, že tyto dodatečně vyvolané výdaje z důvodu sdílení se sítěmi elektronických komunikací nebudou oprávněnou osobou žádající o přístup uhrazeny již v rámci jednorázového vyrovnání. Pro výpočet měsíční ceny těchto dodatečných výdajů se již nevyužije výše uvedený koeficient sdílení, neboť </w:t>
      </w:r>
      <w:r w:rsidRPr="00B05191">
        <w:rPr>
          <w:rFonts w:cs="Arial"/>
        </w:rPr>
        <w:t>tyto dodatečně vyvolané náklady musí být oprávněnou osobou hrazeny v plné výši (ze 100 %), nikoliv jen z části, určené koeficientem využití.</w:t>
      </w:r>
      <w:r w:rsidRPr="000C234A">
        <w:rPr>
          <w:rFonts w:cs="Arial"/>
        </w:rPr>
        <w:t xml:space="preserve"> Roční kapitálová platba (C) se stanoví výpočtem podle vzorce v kapitole 2.1.</w:t>
      </w:r>
    </w:p>
    <w:p w14:paraId="63EFC017" w14:textId="77777777" w:rsidR="00B8390A" w:rsidRPr="00975ACC" w:rsidRDefault="00B8390A" w:rsidP="00F67923">
      <w:pPr>
        <w:pStyle w:val="Vvojcen-nadpis2"/>
        <w:rPr>
          <w:rFonts w:eastAsia="MS Mincho"/>
          <w:lang w:eastAsia="ja-JP"/>
        </w:rPr>
      </w:pPr>
      <w:bookmarkStart w:id="124" w:name="_Toc484008771"/>
      <w:bookmarkStart w:id="125" w:name="_Toc484009763"/>
      <w:bookmarkStart w:id="126" w:name="_Toc484009820"/>
      <w:bookmarkStart w:id="127" w:name="_Toc484009877"/>
      <w:bookmarkStart w:id="128" w:name="_Toc484009955"/>
      <w:bookmarkStart w:id="129" w:name="_Toc484010733"/>
      <w:bookmarkStart w:id="130" w:name="_Toc484008772"/>
      <w:bookmarkStart w:id="131" w:name="_Toc484009764"/>
      <w:bookmarkStart w:id="132" w:name="_Toc484009821"/>
      <w:bookmarkStart w:id="133" w:name="_Toc484009878"/>
      <w:bookmarkStart w:id="134" w:name="_Toc484009956"/>
      <w:bookmarkStart w:id="135" w:name="_Toc484010734"/>
      <w:bookmarkStart w:id="136" w:name="_Toc496446444"/>
      <w:bookmarkStart w:id="137" w:name="_Toc496518798"/>
      <w:bookmarkEnd w:id="124"/>
      <w:bookmarkEnd w:id="125"/>
      <w:bookmarkEnd w:id="126"/>
      <w:bookmarkEnd w:id="127"/>
      <w:bookmarkEnd w:id="128"/>
      <w:bookmarkEnd w:id="129"/>
      <w:bookmarkEnd w:id="130"/>
      <w:bookmarkEnd w:id="131"/>
      <w:bookmarkEnd w:id="132"/>
      <w:bookmarkEnd w:id="133"/>
      <w:bookmarkEnd w:id="134"/>
      <w:bookmarkEnd w:id="135"/>
      <w:r w:rsidRPr="00975ACC">
        <w:rPr>
          <w:rFonts w:eastAsia="MS Mincho"/>
          <w:lang w:eastAsia="ja-JP"/>
        </w:rPr>
        <w:t>Provozní náklady</w:t>
      </w:r>
      <w:bookmarkEnd w:id="136"/>
      <w:bookmarkEnd w:id="137"/>
    </w:p>
    <w:p w14:paraId="7FA91DB9" w14:textId="77777777" w:rsidR="00413B94" w:rsidRPr="001C3993" w:rsidRDefault="00136076" w:rsidP="00F67923">
      <w:pPr>
        <w:pStyle w:val="Vvojcen-zkladntext"/>
        <w:rPr>
          <w:rFonts w:cs="Arial"/>
        </w:rPr>
      </w:pPr>
      <w:r w:rsidRPr="00CA4021">
        <w:rPr>
          <w:rFonts w:cs="Arial"/>
        </w:rPr>
        <w:t>Provozní náklady zahrnují výdaje spojené se zajištěním provozuschopnosti daného prvku</w:t>
      </w:r>
      <w:r w:rsidR="00B855BF" w:rsidRPr="00A533AC">
        <w:rPr>
          <w:rFonts w:cs="Arial"/>
        </w:rPr>
        <w:t xml:space="preserve"> fyzické infrastruktury, které mohou být jak operativního</w:t>
      </w:r>
      <w:r w:rsidR="00563BA3" w:rsidRPr="009B2DD6">
        <w:rPr>
          <w:rFonts w:cs="Arial"/>
        </w:rPr>
        <w:t>,</w:t>
      </w:r>
      <w:r w:rsidR="00B855BF" w:rsidRPr="009B2DD6">
        <w:rPr>
          <w:rFonts w:cs="Arial"/>
        </w:rPr>
        <w:t xml:space="preserve"> tak preventivního charakteru. Jedná se zejména o pravidelnou kontrolu technických parametrů, zjišťování neporušenosti a</w:t>
      </w:r>
      <w:r w:rsidR="00274CBF" w:rsidRPr="00AF28AB">
        <w:rPr>
          <w:rFonts w:cs="Arial"/>
        </w:rPr>
        <w:t> </w:t>
      </w:r>
      <w:r w:rsidR="00B855BF" w:rsidRPr="00AF28AB">
        <w:rPr>
          <w:rFonts w:cs="Arial"/>
        </w:rPr>
        <w:t>fyzického stavu, předepsané revize a prověření funkčnosti tohoto prvku.</w:t>
      </w:r>
      <w:r w:rsidR="00563BA3" w:rsidRPr="00AF28AB">
        <w:rPr>
          <w:rFonts w:cs="Arial"/>
        </w:rPr>
        <w:t xml:space="preserve"> Do oblasti provozních nákladů lze </w:t>
      </w:r>
      <w:r w:rsidR="00AE76D2" w:rsidRPr="008A1875">
        <w:rPr>
          <w:rFonts w:cs="Arial"/>
        </w:rPr>
        <w:t xml:space="preserve">u vybraných prvků </w:t>
      </w:r>
      <w:r w:rsidR="00563BA3" w:rsidRPr="008A1875">
        <w:rPr>
          <w:rFonts w:cs="Arial"/>
        </w:rPr>
        <w:t xml:space="preserve">zahrnout </w:t>
      </w:r>
      <w:r w:rsidR="00AE76D2" w:rsidRPr="008A1875">
        <w:rPr>
          <w:rFonts w:cs="Arial"/>
        </w:rPr>
        <w:t xml:space="preserve">případně </w:t>
      </w:r>
      <w:r w:rsidR="00563BA3" w:rsidRPr="008A1875">
        <w:rPr>
          <w:rFonts w:cs="Arial"/>
        </w:rPr>
        <w:t>i náklady na energie, klimatizace apod.</w:t>
      </w:r>
      <w:r w:rsidR="00B855BF" w:rsidRPr="00BF6EEA">
        <w:rPr>
          <w:rFonts w:cs="Arial"/>
        </w:rPr>
        <w:t xml:space="preserve"> Podle druhu předmětného aktiva lze mezi výdaje zařadit </w:t>
      </w:r>
      <w:r w:rsidR="00E178B6" w:rsidRPr="00BF6EEA">
        <w:rPr>
          <w:rFonts w:cs="Arial"/>
        </w:rPr>
        <w:t>např.</w:t>
      </w:r>
      <w:r w:rsidR="00B855BF" w:rsidRPr="00BF6EEA">
        <w:rPr>
          <w:rFonts w:cs="Arial"/>
        </w:rPr>
        <w:t xml:space="preserve"> nátěry a další udržovací práce</w:t>
      </w:r>
      <w:r w:rsidR="00E178B6" w:rsidRPr="00BF6EEA">
        <w:rPr>
          <w:rFonts w:cs="Arial"/>
        </w:rPr>
        <w:t xml:space="preserve"> pro nadzemní</w:t>
      </w:r>
      <w:r w:rsidR="00B855BF" w:rsidRPr="00BF6EEA">
        <w:rPr>
          <w:rFonts w:cs="Arial"/>
        </w:rPr>
        <w:t xml:space="preserve"> prvk</w:t>
      </w:r>
      <w:r w:rsidR="00E178B6" w:rsidRPr="00BF6EEA">
        <w:rPr>
          <w:rFonts w:cs="Arial"/>
        </w:rPr>
        <w:t xml:space="preserve">y, zajištění přístupů pro oprávněné osoby a podíl nákladů na informování a komunikaci </w:t>
      </w:r>
      <w:r w:rsidR="008C2E59" w:rsidRPr="00436AFC">
        <w:rPr>
          <w:rFonts w:cs="Arial"/>
        </w:rPr>
        <w:t xml:space="preserve">s oprávněnými osobami </w:t>
      </w:r>
      <w:r w:rsidR="00E178B6" w:rsidRPr="002A0BB4">
        <w:rPr>
          <w:rFonts w:cs="Arial"/>
        </w:rPr>
        <w:t>o případných opravách, výlukách provozu apod.</w:t>
      </w:r>
      <w:r w:rsidR="008C2E59" w:rsidRPr="001C3993">
        <w:rPr>
          <w:rFonts w:cs="Arial"/>
        </w:rPr>
        <w:t xml:space="preserve"> Součástí provozních nákladů je i vedení operativní evidence o fyzické infrastruktuře a</w:t>
      </w:r>
      <w:r w:rsidR="00FE121A" w:rsidRPr="001C3993">
        <w:rPr>
          <w:rFonts w:cs="Arial"/>
        </w:rPr>
        <w:t> </w:t>
      </w:r>
      <w:r w:rsidR="008C2E59" w:rsidRPr="001C3993">
        <w:rPr>
          <w:rFonts w:cs="Arial"/>
        </w:rPr>
        <w:t>poskytování informací</w:t>
      </w:r>
      <w:r w:rsidR="00E178B6" w:rsidRPr="001C3993">
        <w:rPr>
          <w:rFonts w:cs="Arial"/>
        </w:rPr>
        <w:t xml:space="preserve"> </w:t>
      </w:r>
      <w:r w:rsidR="008C2E59" w:rsidRPr="001C3993">
        <w:rPr>
          <w:rFonts w:cs="Arial"/>
        </w:rPr>
        <w:t>a</w:t>
      </w:r>
      <w:r w:rsidR="00274CBF" w:rsidRPr="001C3993">
        <w:rPr>
          <w:rFonts w:cs="Arial"/>
        </w:rPr>
        <w:t> </w:t>
      </w:r>
      <w:r w:rsidR="008C2E59" w:rsidRPr="001C3993">
        <w:rPr>
          <w:rFonts w:cs="Arial"/>
        </w:rPr>
        <w:t>výpisů z této evidence.</w:t>
      </w:r>
      <w:r w:rsidR="00413B94" w:rsidRPr="001C3993">
        <w:rPr>
          <w:rFonts w:cs="Arial"/>
        </w:rPr>
        <w:t xml:space="preserve"> </w:t>
      </w:r>
    </w:p>
    <w:p w14:paraId="15E64D94" w14:textId="508BBB1D" w:rsidR="00B855BF" w:rsidRPr="008A1875" w:rsidRDefault="00413B94" w:rsidP="00F67923">
      <w:pPr>
        <w:pStyle w:val="Vvojcen-zkladntext"/>
        <w:rPr>
          <w:rFonts w:cs="Arial"/>
        </w:rPr>
      </w:pPr>
      <w:r w:rsidRPr="00A74E17">
        <w:rPr>
          <w:rFonts w:cs="Arial"/>
        </w:rPr>
        <w:t>Výše provozních nákladů na údržbu prvků fyzické infrastruktury bude pravděpodobně u každé povinné osoby rozdílná, v závislosti na sektoru, ve kterém působí a lokalitě, ve které se fyzická infrastruktura nachází. Každý povinný subjekt si proto s využitím podkladů</w:t>
      </w:r>
      <w:r w:rsidR="00090DD9" w:rsidRPr="00A74E17">
        <w:rPr>
          <w:rFonts w:cs="Arial"/>
        </w:rPr>
        <w:t xml:space="preserve"> z vlastní </w:t>
      </w:r>
      <w:r w:rsidR="00090DD9" w:rsidRPr="000D1C88">
        <w:rPr>
          <w:rFonts w:cs="Arial"/>
        </w:rPr>
        <w:t>účetní a controllingové evidence definuje přiměřený rozsah provozních nákladů a stanoví poměr provozních nákladů</w:t>
      </w:r>
      <w:r w:rsidR="00090DD9" w:rsidRPr="001C3993">
        <w:rPr>
          <w:rFonts w:cs="Arial"/>
        </w:rPr>
        <w:t xml:space="preserve"> k</w:t>
      </w:r>
      <w:r w:rsidR="002A311A" w:rsidRPr="001C3993">
        <w:rPr>
          <w:rFonts w:cs="Arial"/>
        </w:rPr>
        <w:t> </w:t>
      </w:r>
      <w:r w:rsidR="00090DD9" w:rsidRPr="001C3993">
        <w:rPr>
          <w:rFonts w:cs="Arial"/>
        </w:rPr>
        <w:t>aktuální</w:t>
      </w:r>
      <w:r w:rsidR="002A311A" w:rsidRPr="001C3993">
        <w:rPr>
          <w:rFonts w:cs="Arial"/>
        </w:rPr>
        <w:t xml:space="preserve"> pořizovací</w:t>
      </w:r>
      <w:r w:rsidR="00090DD9" w:rsidRPr="001C3993">
        <w:rPr>
          <w:rFonts w:cs="Arial"/>
        </w:rPr>
        <w:t xml:space="preserve"> hodnotě</w:t>
      </w:r>
      <w:r w:rsidR="00090DD9" w:rsidRPr="00CA4021">
        <w:rPr>
          <w:rStyle w:val="Znakapoznpodarou"/>
          <w:rFonts w:cs="Arial"/>
        </w:rPr>
        <w:footnoteReference w:id="6"/>
      </w:r>
      <w:r w:rsidR="00090DD9" w:rsidRPr="00CA4021">
        <w:rPr>
          <w:rFonts w:cs="Arial"/>
        </w:rPr>
        <w:t xml:space="preserve"> prvků fyzické infrastruktury, které mohou být předmětem zpřístupnění</w:t>
      </w:r>
      <w:r w:rsidR="000D1C88">
        <w:rPr>
          <w:rFonts w:cs="Arial"/>
        </w:rPr>
        <w:t xml:space="preserve"> </w:t>
      </w:r>
      <w:r w:rsidR="000D1C88" w:rsidRPr="001313C9">
        <w:rPr>
          <w:rFonts w:cs="Arial"/>
        </w:rPr>
        <w:t>a stanoví tímto obecně platnou procentní přirážku k pořizovací ceně</w:t>
      </w:r>
      <w:r w:rsidR="00090DD9" w:rsidRPr="001313C9">
        <w:rPr>
          <w:rFonts w:cs="Arial"/>
        </w:rPr>
        <w:t>.</w:t>
      </w:r>
      <w:r w:rsidR="00090DD9" w:rsidRPr="00CA4021">
        <w:rPr>
          <w:rFonts w:cs="Arial"/>
        </w:rPr>
        <w:t xml:space="preserve"> </w:t>
      </w:r>
      <w:r w:rsidR="00C612A1" w:rsidRPr="00A533AC">
        <w:rPr>
          <w:rFonts w:cs="Arial"/>
        </w:rPr>
        <w:t xml:space="preserve">Do procentní přirážky provozních </w:t>
      </w:r>
      <w:r w:rsidR="00C612A1" w:rsidRPr="009B2DD6">
        <w:rPr>
          <w:rFonts w:cs="Arial"/>
        </w:rPr>
        <w:t>nákladů ve vztahu k hodnotě daného prvku fyzické infrastruktury lze promítnout jen oprávněné a zdůvodněné náklady. Hodnoty pro výpočet přirážky provozních nákladů by měly vyjadřovat aktuální úroveň těchto nákladů a</w:t>
      </w:r>
      <w:r w:rsidR="00A74E17">
        <w:rPr>
          <w:rFonts w:cs="Arial"/>
        </w:rPr>
        <w:t> </w:t>
      </w:r>
      <w:r w:rsidR="00C612A1" w:rsidRPr="009B2DD6">
        <w:rPr>
          <w:rFonts w:cs="Arial"/>
        </w:rPr>
        <w:t>neměly by být čerpány z účetních podkladů</w:t>
      </w:r>
      <w:r w:rsidR="00C612A1" w:rsidRPr="00AF28AB">
        <w:rPr>
          <w:rFonts w:cs="Arial"/>
        </w:rPr>
        <w:t xml:space="preserve"> za období starší než 3 roky. Tuto přirážku lze v pravidelných intervalech verifikovat a aktualizovat, nicméně v zájmu př</w:t>
      </w:r>
      <w:r w:rsidR="00C612A1" w:rsidRPr="008A1875">
        <w:rPr>
          <w:rFonts w:cs="Arial"/>
        </w:rPr>
        <w:t>edvídatelnosti a</w:t>
      </w:r>
      <w:r w:rsidR="00B61838">
        <w:rPr>
          <w:rFonts w:cs="Arial"/>
        </w:rPr>
        <w:t> </w:t>
      </w:r>
      <w:r w:rsidR="00C612A1" w:rsidRPr="008A1875">
        <w:rPr>
          <w:rFonts w:cs="Arial"/>
        </w:rPr>
        <w:t>stability podmínek pronájmu se předpokládá, že změna výpočtu této skupiny nákladů by se mohla uskutečnit zpravidla 1x za 3 roky.</w:t>
      </w:r>
    </w:p>
    <w:p w14:paraId="3F3AD48C" w14:textId="77777777" w:rsidR="007A7046" w:rsidRPr="000D1C88" w:rsidRDefault="007A7046" w:rsidP="00F67923">
      <w:pPr>
        <w:pStyle w:val="Vvojcen-zkladntext"/>
        <w:rPr>
          <w:rFonts w:cs="Arial"/>
        </w:rPr>
      </w:pPr>
      <w:r w:rsidRPr="00BF6EEA">
        <w:rPr>
          <w:rFonts w:cs="Arial"/>
        </w:rPr>
        <w:t>Do oblasti nákladů na provoz fyzické infrastruktury spadají také výdaje spojené se zajištěním úrovně garantované kvality SLA (Service Level Agreement).</w:t>
      </w:r>
      <w:r w:rsidR="003825CE" w:rsidRPr="00BF6EEA">
        <w:rPr>
          <w:rFonts w:cs="Arial"/>
        </w:rPr>
        <w:t xml:space="preserve"> </w:t>
      </w:r>
      <w:r w:rsidRPr="00BF6EEA">
        <w:rPr>
          <w:rFonts w:cs="Arial"/>
        </w:rPr>
        <w:t>Provozovatel daného prvku fyzické infrastruktury je oprávněn do ceny</w:t>
      </w:r>
      <w:r w:rsidR="00FB69BD" w:rsidRPr="00436AFC">
        <w:rPr>
          <w:rFonts w:cs="Arial"/>
        </w:rPr>
        <w:t xml:space="preserve"> promítnout nezbytné náklady spojené s připraveností a rychlostí zásahů při obnovení funkčnosti</w:t>
      </w:r>
      <w:r w:rsidRPr="002A0BB4">
        <w:rPr>
          <w:rFonts w:cs="Arial"/>
        </w:rPr>
        <w:t xml:space="preserve"> </w:t>
      </w:r>
      <w:r w:rsidR="00FB69BD" w:rsidRPr="002A0BB4">
        <w:rPr>
          <w:rFonts w:cs="Arial"/>
        </w:rPr>
        <w:t>pronajímané infrastruktury. Základní úroveň kvalit</w:t>
      </w:r>
      <w:r w:rsidR="00FB69BD" w:rsidRPr="000D1C88">
        <w:rPr>
          <w:rFonts w:cs="Arial"/>
        </w:rPr>
        <w:t>y je vyjádřena koeficientem 1 a může být zvýšena po dohodě s oprávněnou osobou v závislosti na požadavcích zvýšené kvality. Pokud se obě strany dohodnou a</w:t>
      </w:r>
      <w:r w:rsidR="00274CBF" w:rsidRPr="000D1C88">
        <w:rPr>
          <w:rFonts w:cs="Arial"/>
        </w:rPr>
        <w:t> </w:t>
      </w:r>
      <w:r w:rsidR="00FB69BD" w:rsidRPr="000D1C88">
        <w:rPr>
          <w:rFonts w:cs="Arial"/>
        </w:rPr>
        <w:t>nebudou-li na straně povinné osoby existovat překážky, může starost o zajištění kvality převzít oprávněná osoba ve své režii.</w:t>
      </w:r>
      <w:r w:rsidR="003825CE" w:rsidRPr="000D1C88">
        <w:rPr>
          <w:rFonts w:cs="Arial"/>
        </w:rPr>
        <w:t xml:space="preserve"> </w:t>
      </w:r>
    </w:p>
    <w:p w14:paraId="4EF8D806" w14:textId="77777777" w:rsidR="00B8390A" w:rsidRPr="001C3993" w:rsidRDefault="00913667" w:rsidP="00F67923">
      <w:pPr>
        <w:pStyle w:val="Vvojcen-zkladntext"/>
        <w:rPr>
          <w:rFonts w:cs="Arial"/>
        </w:rPr>
      </w:pPr>
      <w:r w:rsidRPr="001C3993">
        <w:rPr>
          <w:rFonts w:cs="Arial"/>
        </w:rPr>
        <w:t>Výpočet provozních nákladů se u</w:t>
      </w:r>
      <w:r w:rsidR="00C77F1D" w:rsidRPr="001C3993">
        <w:rPr>
          <w:rFonts w:cs="Arial"/>
        </w:rPr>
        <w:t xml:space="preserve"> všech prvk</w:t>
      </w:r>
      <w:r w:rsidRPr="001C3993">
        <w:rPr>
          <w:rFonts w:cs="Arial"/>
        </w:rPr>
        <w:t>ů</w:t>
      </w:r>
      <w:r w:rsidR="00C77F1D" w:rsidRPr="001C3993">
        <w:rPr>
          <w:rFonts w:cs="Arial"/>
        </w:rPr>
        <w:t xml:space="preserve"> </w:t>
      </w:r>
      <w:r w:rsidR="00100067" w:rsidRPr="001C3993">
        <w:rPr>
          <w:rFonts w:cs="Arial"/>
        </w:rPr>
        <w:t>proved</w:t>
      </w:r>
      <w:r w:rsidR="00B8390A" w:rsidRPr="001C3993">
        <w:rPr>
          <w:rFonts w:cs="Arial"/>
        </w:rPr>
        <w:t xml:space="preserve">e </w:t>
      </w:r>
      <w:r w:rsidR="00100067" w:rsidRPr="001C3993">
        <w:rPr>
          <w:rFonts w:cs="Arial"/>
        </w:rPr>
        <w:t xml:space="preserve">stanovenou </w:t>
      </w:r>
      <w:r w:rsidR="00B8390A" w:rsidRPr="001C3993">
        <w:rPr>
          <w:rFonts w:cs="Arial"/>
        </w:rPr>
        <w:t>procentní přirážkou</w:t>
      </w:r>
      <w:r w:rsidR="00100067" w:rsidRPr="001C3993">
        <w:rPr>
          <w:rFonts w:cs="Arial"/>
        </w:rPr>
        <w:t xml:space="preserve"> pro daný druh</w:t>
      </w:r>
      <w:r w:rsidR="00B8390A" w:rsidRPr="001C3993">
        <w:rPr>
          <w:rFonts w:cs="Arial"/>
        </w:rPr>
        <w:t xml:space="preserve"> </w:t>
      </w:r>
      <w:r w:rsidR="00100067" w:rsidRPr="001C3993">
        <w:rPr>
          <w:rFonts w:cs="Arial"/>
        </w:rPr>
        <w:t>fyzické infrastruktury.</w:t>
      </w:r>
    </w:p>
    <w:p w14:paraId="5B461F66" w14:textId="1B96226D" w:rsidR="00B8390A" w:rsidRPr="000C234A" w:rsidRDefault="002A311A" w:rsidP="00F67923">
      <w:pPr>
        <w:overflowPunct/>
        <w:autoSpaceDE/>
        <w:autoSpaceDN/>
        <w:adjustRightInd/>
        <w:spacing w:after="240"/>
        <w:jc w:val="both"/>
        <w:textAlignment w:val="auto"/>
        <w:rPr>
          <w:rFonts w:ascii="Arial" w:hAnsi="Arial" w:cs="Arial"/>
          <w:sz w:val="24"/>
        </w:rPr>
      </w:pPr>
      <w:r w:rsidRPr="000C234A">
        <w:rPr>
          <w:rFonts w:ascii="Arial" w:hAnsi="Arial" w:cs="Arial"/>
          <w:noProof/>
        </w:rPr>
        <w:drawing>
          <wp:inline distT="0" distB="0" distL="0" distR="0" wp14:anchorId="5F434DA2" wp14:editId="34061904">
            <wp:extent cx="5760720" cy="70570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05700"/>
                    </a:xfrm>
                    <a:prstGeom prst="rect">
                      <a:avLst/>
                    </a:prstGeom>
                    <a:noFill/>
                    <a:ln>
                      <a:noFill/>
                    </a:ln>
                  </pic:spPr>
                </pic:pic>
              </a:graphicData>
            </a:graphic>
          </wp:inline>
        </w:drawing>
      </w:r>
    </w:p>
    <w:p w14:paraId="2C2F7D46" w14:textId="77777777" w:rsidR="00B8390A" w:rsidRPr="000C234A" w:rsidRDefault="00C612A1" w:rsidP="00F67923">
      <w:pPr>
        <w:overflowPunct/>
        <w:autoSpaceDE/>
        <w:autoSpaceDN/>
        <w:adjustRightInd/>
        <w:spacing w:after="240"/>
        <w:jc w:val="both"/>
        <w:textAlignment w:val="auto"/>
        <w:rPr>
          <w:rFonts w:ascii="Arial" w:hAnsi="Arial" w:cs="Arial"/>
        </w:rPr>
      </w:pPr>
      <w:r w:rsidRPr="000C234A">
        <w:rPr>
          <w:rFonts w:ascii="Arial" w:hAnsi="Arial" w:cs="Arial"/>
          <w:noProof/>
        </w:rPr>
        <w:lastRenderedPageBreak/>
        <w:drawing>
          <wp:inline distT="0" distB="0" distL="0" distR="0" wp14:anchorId="68FA8E22" wp14:editId="6F2BACD4">
            <wp:extent cx="5769610" cy="760040"/>
            <wp:effectExtent l="0" t="0" r="2540" b="254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0662" cy="770717"/>
                    </a:xfrm>
                    <a:prstGeom prst="rect">
                      <a:avLst/>
                    </a:prstGeom>
                    <a:noFill/>
                    <a:ln>
                      <a:noFill/>
                    </a:ln>
                  </pic:spPr>
                </pic:pic>
              </a:graphicData>
            </a:graphic>
          </wp:inline>
        </w:drawing>
      </w:r>
      <w:r w:rsidRPr="000C234A" w:rsidDel="00C612A1">
        <w:rPr>
          <w:rFonts w:ascii="Arial" w:hAnsi="Arial" w:cs="Arial"/>
        </w:rPr>
        <w:t xml:space="preserve"> </w:t>
      </w:r>
    </w:p>
    <w:p w14:paraId="34E5AB84" w14:textId="77777777" w:rsidR="009E2C85" w:rsidRPr="000C234A" w:rsidRDefault="009E2C85" w:rsidP="009E2C85">
      <w:pPr>
        <w:pStyle w:val="Vvojcen-zkladntext"/>
        <w:rPr>
          <w:rFonts w:cs="Arial"/>
          <w:sz w:val="24"/>
        </w:rPr>
      </w:pPr>
      <w:r w:rsidRPr="00975ACC">
        <w:rPr>
          <w:rFonts w:cs="Arial"/>
        </w:rPr>
        <w:t>Cílem takto zvoleného výpočtu je zahrnout provozní náklady do ceny zpřístupňované infrastruktury maximálně jen v té míře, v jaké je (v průměru) povinný subjekt uplatňuje u svých ostatní služeb.</w:t>
      </w:r>
    </w:p>
    <w:p w14:paraId="69F1AC8F" w14:textId="77777777" w:rsidR="00C77F1D" w:rsidRPr="00975ACC" w:rsidRDefault="00C77F1D" w:rsidP="00F67923">
      <w:pPr>
        <w:pStyle w:val="Vvojcen-nadpis2"/>
        <w:rPr>
          <w:rFonts w:eastAsia="MS Mincho"/>
          <w:lang w:eastAsia="ja-JP"/>
        </w:rPr>
      </w:pPr>
      <w:bookmarkStart w:id="138" w:name="_Toc484008774"/>
      <w:bookmarkStart w:id="139" w:name="_Toc484009766"/>
      <w:bookmarkStart w:id="140" w:name="_Toc484009823"/>
      <w:bookmarkStart w:id="141" w:name="_Toc484009880"/>
      <w:bookmarkStart w:id="142" w:name="_Toc484009958"/>
      <w:bookmarkStart w:id="143" w:name="_Toc484010736"/>
      <w:bookmarkStart w:id="144" w:name="_Toc484008775"/>
      <w:bookmarkStart w:id="145" w:name="_Toc484009767"/>
      <w:bookmarkStart w:id="146" w:name="_Toc484009824"/>
      <w:bookmarkStart w:id="147" w:name="_Toc484009881"/>
      <w:bookmarkStart w:id="148" w:name="_Toc484009959"/>
      <w:bookmarkStart w:id="149" w:name="_Toc484010737"/>
      <w:bookmarkStart w:id="150" w:name="_Toc496446445"/>
      <w:bookmarkStart w:id="151" w:name="_Toc496518799"/>
      <w:bookmarkEnd w:id="138"/>
      <w:bookmarkEnd w:id="139"/>
      <w:bookmarkEnd w:id="140"/>
      <w:bookmarkEnd w:id="141"/>
      <w:bookmarkEnd w:id="142"/>
      <w:bookmarkEnd w:id="143"/>
      <w:bookmarkEnd w:id="144"/>
      <w:bookmarkEnd w:id="145"/>
      <w:bookmarkEnd w:id="146"/>
      <w:bookmarkEnd w:id="147"/>
      <w:bookmarkEnd w:id="148"/>
      <w:bookmarkEnd w:id="149"/>
      <w:r w:rsidRPr="00975ACC">
        <w:rPr>
          <w:rFonts w:eastAsia="MS Mincho"/>
          <w:lang w:eastAsia="ja-JP"/>
        </w:rPr>
        <w:t>Billing</w:t>
      </w:r>
      <w:bookmarkEnd w:id="150"/>
      <w:bookmarkEnd w:id="151"/>
    </w:p>
    <w:p w14:paraId="7775E055" w14:textId="77777777" w:rsidR="00FB70B1" w:rsidRPr="00A533AC" w:rsidRDefault="002D33EF" w:rsidP="00F67923">
      <w:pPr>
        <w:pStyle w:val="Vvojcen-zkladntext"/>
        <w:rPr>
          <w:rFonts w:cs="Arial"/>
        </w:rPr>
      </w:pPr>
      <w:r w:rsidRPr="00975ACC">
        <w:rPr>
          <w:rFonts w:cs="Arial"/>
        </w:rPr>
        <w:t xml:space="preserve">Náklady na billing zahrnují výdaje </w:t>
      </w:r>
      <w:r w:rsidR="00250BAF" w:rsidRPr="00975ACC">
        <w:rPr>
          <w:rFonts w:cs="Arial"/>
        </w:rPr>
        <w:t xml:space="preserve">určené </w:t>
      </w:r>
      <w:r w:rsidRPr="00975ACC">
        <w:rPr>
          <w:rFonts w:cs="Arial"/>
        </w:rPr>
        <w:t xml:space="preserve">na </w:t>
      </w:r>
      <w:r w:rsidR="00250BAF" w:rsidRPr="00975ACC">
        <w:rPr>
          <w:rFonts w:cs="Arial"/>
        </w:rPr>
        <w:t>zajištění pravidelného vyúčtování a</w:t>
      </w:r>
      <w:r w:rsidR="00274CBF" w:rsidRPr="00975ACC">
        <w:rPr>
          <w:rFonts w:cs="Arial"/>
        </w:rPr>
        <w:t> </w:t>
      </w:r>
      <w:r w:rsidR="00250BAF" w:rsidRPr="00B05191">
        <w:rPr>
          <w:rFonts w:cs="Arial"/>
        </w:rPr>
        <w:t xml:space="preserve">placení poskytnutých služeb pronájmu fyzické infrastruktury. </w:t>
      </w:r>
      <w:r w:rsidR="00C77F1D" w:rsidRPr="00B05191">
        <w:rPr>
          <w:rFonts w:cs="Arial"/>
        </w:rPr>
        <w:t xml:space="preserve">Výše nákladů na billing </w:t>
      </w:r>
      <w:r w:rsidR="00250BAF" w:rsidRPr="00B05191">
        <w:rPr>
          <w:rFonts w:cs="Arial"/>
        </w:rPr>
        <w:t>s</w:t>
      </w:r>
      <w:r w:rsidR="00EE1445" w:rsidRPr="00B300B4">
        <w:rPr>
          <w:rFonts w:cs="Arial"/>
        </w:rPr>
        <w:t>e odvozuje od alokovaných osobních nákladů a</w:t>
      </w:r>
      <w:r w:rsidR="003825CE" w:rsidRPr="00CA4021">
        <w:rPr>
          <w:rFonts w:cs="Arial"/>
        </w:rPr>
        <w:t xml:space="preserve"> </w:t>
      </w:r>
      <w:r w:rsidR="000F1305" w:rsidRPr="00CA4021">
        <w:rPr>
          <w:rFonts w:cs="Arial"/>
        </w:rPr>
        <w:t xml:space="preserve">systémové IT podpory na </w:t>
      </w:r>
      <w:r w:rsidR="004A68E0" w:rsidRPr="00CA4021">
        <w:rPr>
          <w:rFonts w:cs="Arial"/>
        </w:rPr>
        <w:t xml:space="preserve">pravidelnou fakturaci, sledování úhrad a pohledávek z této činnosti. </w:t>
      </w:r>
    </w:p>
    <w:p w14:paraId="002C1CC9" w14:textId="68C18DE0" w:rsidR="00C77F1D" w:rsidRPr="00975ACC" w:rsidRDefault="00FB70B1" w:rsidP="00F67923">
      <w:pPr>
        <w:pStyle w:val="Vvojcen-zkladntext"/>
        <w:rPr>
          <w:rFonts w:cs="Arial"/>
        </w:rPr>
      </w:pPr>
      <w:r w:rsidRPr="000C234A">
        <w:rPr>
          <w:rFonts w:cs="Arial"/>
        </w:rPr>
        <w:t>Pokud</w:t>
      </w:r>
      <w:r w:rsidR="00C666F1" w:rsidRPr="000C234A">
        <w:rPr>
          <w:rFonts w:cs="Arial"/>
        </w:rPr>
        <w:t xml:space="preserve"> povinná osoba nebude schopná objektivně doložit</w:t>
      </w:r>
      <w:r w:rsidR="00E64A03" w:rsidRPr="00B05191">
        <w:rPr>
          <w:rFonts w:cs="Arial"/>
        </w:rPr>
        <w:t xml:space="preserve"> </w:t>
      </w:r>
      <w:r w:rsidR="00E64A03" w:rsidRPr="000C234A">
        <w:rPr>
          <w:rFonts w:cs="Arial"/>
        </w:rPr>
        <w:t>konkrétní výš</w:t>
      </w:r>
      <w:r w:rsidR="00C666F1" w:rsidRPr="000C234A">
        <w:rPr>
          <w:rFonts w:cs="Arial"/>
        </w:rPr>
        <w:t>i</w:t>
      </w:r>
      <w:r w:rsidR="00E64A03" w:rsidRPr="000C234A">
        <w:rPr>
          <w:rFonts w:cs="Arial"/>
        </w:rPr>
        <w:t xml:space="preserve"> </w:t>
      </w:r>
      <w:r w:rsidR="00BC198C" w:rsidRPr="000C234A">
        <w:rPr>
          <w:rFonts w:cs="Arial"/>
        </w:rPr>
        <w:t xml:space="preserve">nákladů na tuto činnost </w:t>
      </w:r>
      <w:r w:rsidR="00C666F1" w:rsidRPr="000C234A">
        <w:rPr>
          <w:rFonts w:cs="Arial"/>
        </w:rPr>
        <w:t>lze při rozhodování sporů</w:t>
      </w:r>
      <w:r w:rsidR="00E64A03" w:rsidRPr="000C234A">
        <w:rPr>
          <w:rFonts w:cs="Arial"/>
        </w:rPr>
        <w:t xml:space="preserve"> využít procentní přirážku</w:t>
      </w:r>
      <w:r w:rsidR="00E1360F" w:rsidRPr="000C234A">
        <w:rPr>
          <w:rFonts w:cs="Arial"/>
        </w:rPr>
        <w:t xml:space="preserve"> uvedenou v modelu</w:t>
      </w:r>
      <w:r w:rsidR="00E64A03" w:rsidRPr="000C234A">
        <w:rPr>
          <w:rFonts w:cs="Arial"/>
        </w:rPr>
        <w:t>.</w:t>
      </w:r>
      <w:r w:rsidR="00C666F1" w:rsidRPr="00B05191">
        <w:rPr>
          <w:rFonts w:cs="Arial"/>
        </w:rPr>
        <w:t xml:space="preserve"> </w:t>
      </w:r>
    </w:p>
    <w:p w14:paraId="375900E5" w14:textId="77777777" w:rsidR="004E43CD" w:rsidRPr="00CA4021" w:rsidRDefault="00495219" w:rsidP="00F67923">
      <w:pPr>
        <w:pStyle w:val="Vvojcen-zkladntext"/>
        <w:rPr>
          <w:rFonts w:cs="Arial"/>
        </w:rPr>
      </w:pPr>
      <w:r w:rsidRPr="00B05191">
        <w:rPr>
          <w:rFonts w:cs="Arial"/>
        </w:rPr>
        <w:t>Náklady na billing se</w:t>
      </w:r>
      <w:r w:rsidR="004A68E0" w:rsidRPr="00B05191">
        <w:rPr>
          <w:rFonts w:cs="Arial"/>
        </w:rPr>
        <w:t xml:space="preserve"> do kalkulace ceny pronájmu fyzické infrastruktury </w:t>
      </w:r>
      <w:r w:rsidR="001837C9" w:rsidRPr="00B300B4">
        <w:rPr>
          <w:rFonts w:cs="Arial"/>
        </w:rPr>
        <w:t xml:space="preserve">promítají </w:t>
      </w:r>
      <w:r w:rsidR="004A68E0" w:rsidRPr="00CA4021">
        <w:rPr>
          <w:rFonts w:cs="Arial"/>
        </w:rPr>
        <w:t xml:space="preserve">paušální </w:t>
      </w:r>
      <w:r w:rsidR="00024287" w:rsidRPr="00CA4021">
        <w:rPr>
          <w:rFonts w:cs="Arial"/>
        </w:rPr>
        <w:t>přirážkou</w:t>
      </w:r>
      <w:r w:rsidR="004A68E0" w:rsidRPr="00CA4021">
        <w:rPr>
          <w:rFonts w:cs="Arial"/>
        </w:rPr>
        <w:t>.</w:t>
      </w:r>
    </w:p>
    <w:p w14:paraId="6C841BAB" w14:textId="77777777" w:rsidR="00E1246D" w:rsidRPr="00975ACC" w:rsidRDefault="00BB77DA" w:rsidP="00F67923">
      <w:pPr>
        <w:pStyle w:val="Vvojcen-zkladntext"/>
        <w:ind w:firstLine="0"/>
        <w:rPr>
          <w:rFonts w:cs="Arial"/>
          <w:highlight w:val="yellow"/>
        </w:rPr>
      </w:pPr>
      <w:r w:rsidRPr="00975ACC">
        <w:rPr>
          <w:rFonts w:cs="Arial"/>
          <w:noProof/>
        </w:rPr>
        <w:drawing>
          <wp:inline distT="0" distB="0" distL="0" distR="0" wp14:anchorId="7992323B" wp14:editId="789DECF4">
            <wp:extent cx="5808372" cy="592455"/>
            <wp:effectExtent l="0" t="0" r="1905"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7092" cy="593344"/>
                    </a:xfrm>
                    <a:prstGeom prst="rect">
                      <a:avLst/>
                    </a:prstGeom>
                    <a:noFill/>
                    <a:ln>
                      <a:noFill/>
                    </a:ln>
                  </pic:spPr>
                </pic:pic>
              </a:graphicData>
            </a:graphic>
          </wp:inline>
        </w:drawing>
      </w:r>
    </w:p>
    <w:p w14:paraId="23266C7A" w14:textId="77777777" w:rsidR="004E43CD" w:rsidRPr="000C234A" w:rsidRDefault="004E43CD" w:rsidP="00F67923">
      <w:pPr>
        <w:pStyle w:val="Vvojcen-zkladntext"/>
        <w:rPr>
          <w:rFonts w:cs="Arial"/>
          <w:sz w:val="24"/>
        </w:rPr>
      </w:pPr>
      <w:r w:rsidRPr="00975ACC">
        <w:rPr>
          <w:rFonts w:cs="Arial"/>
        </w:rPr>
        <w:t>Každý povinný subjekt si s využitím podkladů z vlastní</w:t>
      </w:r>
      <w:r w:rsidR="00090DD9" w:rsidRPr="00975ACC">
        <w:rPr>
          <w:rFonts w:cs="Arial"/>
        </w:rPr>
        <w:t xml:space="preserve"> účetní a controllingové evidence definuje přim</w:t>
      </w:r>
      <w:r w:rsidR="00090DD9" w:rsidRPr="00B05191">
        <w:rPr>
          <w:rFonts w:cs="Arial"/>
        </w:rPr>
        <w:t>ěřený rozsah nákladů na billing. Na tomto základě stanoví porovnáním s objemem ročních provozních nákladů včetně ročních odpisů přirážku v procentech. Hodnoty pro výpočet přirážky nákladů na billing by měly vyjadřovat aktuální úroveň těchto nákladů a</w:t>
      </w:r>
      <w:r w:rsidR="001837C9" w:rsidRPr="00B300B4">
        <w:rPr>
          <w:rFonts w:cs="Arial"/>
        </w:rPr>
        <w:t> </w:t>
      </w:r>
      <w:r w:rsidR="00090DD9" w:rsidRPr="00B300B4">
        <w:rPr>
          <w:rFonts w:cs="Arial"/>
        </w:rPr>
        <w:t>neměly by být čerpány z účetních podkladů za období starší než 3 roky. Tuto přirážku lze v pravidelných intervalech verifikovat a aktualizovat, nicméně v zájmu předvídatelnosti a</w:t>
      </w:r>
      <w:r w:rsidR="001837C9" w:rsidRPr="00CA4021">
        <w:rPr>
          <w:rFonts w:cs="Arial"/>
        </w:rPr>
        <w:t> </w:t>
      </w:r>
      <w:r w:rsidR="00090DD9" w:rsidRPr="00CA4021">
        <w:rPr>
          <w:rFonts w:cs="Arial"/>
        </w:rPr>
        <w:t>stability podmínek pronájmu se předpokládá, že změna výpočtu této skupiny nákladů by se mohla uskutečnit zpravidla 1x za 3 roky.</w:t>
      </w:r>
      <w:r w:rsidR="009E2C85" w:rsidRPr="00A533AC">
        <w:rPr>
          <w:rFonts w:cs="Arial"/>
        </w:rPr>
        <w:t xml:space="preserve"> Cílem takto zvoleného výpočtu je zahrnout billingové náklady do ceny zpřístupňované infrastruktury maximálně jen v té míře, v jaké je (v průměru) povinný</w:t>
      </w:r>
      <w:r w:rsidR="009E2C85" w:rsidRPr="009B2DD6">
        <w:rPr>
          <w:rFonts w:cs="Arial"/>
        </w:rPr>
        <w:t xml:space="preserve"> subjekt uplatňuje u svých ostatní služeb.</w:t>
      </w:r>
    </w:p>
    <w:p w14:paraId="141C59D1" w14:textId="77777777" w:rsidR="00C77F1D" w:rsidRPr="00975ACC" w:rsidRDefault="00C77F1D" w:rsidP="00F67923">
      <w:pPr>
        <w:pStyle w:val="Vvojcen-nadpis2"/>
        <w:rPr>
          <w:rFonts w:eastAsia="MS Mincho"/>
          <w:lang w:eastAsia="ja-JP"/>
        </w:rPr>
      </w:pPr>
      <w:bookmarkStart w:id="152" w:name="_Toc484008777"/>
      <w:bookmarkStart w:id="153" w:name="_Toc484009769"/>
      <w:bookmarkStart w:id="154" w:name="_Toc484009826"/>
      <w:bookmarkStart w:id="155" w:name="_Toc484009883"/>
      <w:bookmarkStart w:id="156" w:name="_Toc484009961"/>
      <w:bookmarkStart w:id="157" w:name="_Toc484010739"/>
      <w:bookmarkStart w:id="158" w:name="_Toc496446446"/>
      <w:bookmarkStart w:id="159" w:name="_Toc496518800"/>
      <w:bookmarkEnd w:id="152"/>
      <w:bookmarkEnd w:id="153"/>
      <w:bookmarkEnd w:id="154"/>
      <w:bookmarkEnd w:id="155"/>
      <w:bookmarkEnd w:id="156"/>
      <w:bookmarkEnd w:id="157"/>
      <w:r w:rsidRPr="00975ACC">
        <w:rPr>
          <w:rFonts w:eastAsia="MS Mincho"/>
          <w:lang w:eastAsia="ja-JP"/>
        </w:rPr>
        <w:t>Prodej a péče o zákazníka</w:t>
      </w:r>
      <w:bookmarkEnd w:id="158"/>
      <w:bookmarkEnd w:id="159"/>
    </w:p>
    <w:p w14:paraId="1EAE6412" w14:textId="77777777" w:rsidR="00E011DE" w:rsidRPr="00B300B4" w:rsidRDefault="00E011DE" w:rsidP="00F67923">
      <w:pPr>
        <w:pStyle w:val="Vvojcen-zkladntext"/>
        <w:rPr>
          <w:rFonts w:cs="Arial"/>
        </w:rPr>
      </w:pPr>
      <w:r w:rsidRPr="00975ACC">
        <w:rPr>
          <w:rFonts w:cs="Arial"/>
        </w:rPr>
        <w:t>Náklady na prodej a péči o zákazníka zahrnují výdaje určené na</w:t>
      </w:r>
      <w:r w:rsidR="00CB5A97" w:rsidRPr="00975ACC">
        <w:rPr>
          <w:rFonts w:cs="Arial"/>
        </w:rPr>
        <w:t xml:space="preserve"> vytvoření administrativní a systémové podpory zákazníka, zejména komunikačních kanálů, sdílení důležitých informací např. o připravovaných investicích</w:t>
      </w:r>
      <w:r w:rsidR="003E4AD2" w:rsidRPr="00B05191">
        <w:rPr>
          <w:rFonts w:cs="Arial"/>
        </w:rPr>
        <w:t xml:space="preserve"> a rozvoji dotýkající se předmětné fyzické infrastruktury</w:t>
      </w:r>
      <w:r w:rsidR="00CB5A97" w:rsidRPr="00B05191">
        <w:rPr>
          <w:rFonts w:cs="Arial"/>
        </w:rPr>
        <w:t>, řešení podnětů</w:t>
      </w:r>
      <w:r w:rsidR="003E4AD2" w:rsidRPr="00B05191">
        <w:rPr>
          <w:rFonts w:cs="Arial"/>
        </w:rPr>
        <w:t>, stížností a reklamací</w:t>
      </w:r>
      <w:r w:rsidR="00CB5A97" w:rsidRPr="00B300B4">
        <w:rPr>
          <w:rFonts w:cs="Arial"/>
        </w:rPr>
        <w:t xml:space="preserve"> oprávněné osoby</w:t>
      </w:r>
      <w:r w:rsidR="003E4AD2" w:rsidRPr="00B300B4">
        <w:rPr>
          <w:rFonts w:cs="Arial"/>
        </w:rPr>
        <w:t>.</w:t>
      </w:r>
      <w:r w:rsidR="003825CE" w:rsidRPr="00B300B4">
        <w:rPr>
          <w:rFonts w:cs="Arial"/>
        </w:rPr>
        <w:t xml:space="preserve"> </w:t>
      </w:r>
    </w:p>
    <w:p w14:paraId="2341C269" w14:textId="77777777" w:rsidR="003E4AD2" w:rsidRPr="00AF28AB" w:rsidRDefault="003E4AD2" w:rsidP="00F67923">
      <w:pPr>
        <w:pStyle w:val="Vvojcen-zkladntext"/>
        <w:rPr>
          <w:rFonts w:cs="Arial"/>
        </w:rPr>
      </w:pPr>
      <w:r w:rsidRPr="00CA4021">
        <w:rPr>
          <w:rFonts w:cs="Arial"/>
        </w:rPr>
        <w:t xml:space="preserve">Ekonomicky zdůvodněné náklady na péči o zákazníka se promítnou do procentní přirážky k pořizovací ceně daného prvku fyzické infrastruktury. Lze předpokládat, že výše těchto nákladů se bude obecně vyvíjet v určité korelaci s objemem realizovaných </w:t>
      </w:r>
      <w:r w:rsidRPr="00A533AC">
        <w:rPr>
          <w:rFonts w:cs="Arial"/>
        </w:rPr>
        <w:t>pronájmů</w:t>
      </w:r>
      <w:r w:rsidR="00223322" w:rsidRPr="009B2DD6">
        <w:rPr>
          <w:rFonts w:cs="Arial"/>
        </w:rPr>
        <w:t xml:space="preserve"> fyzické infrastruktury</w:t>
      </w:r>
      <w:r w:rsidRPr="00AF28AB">
        <w:rPr>
          <w:rFonts w:cs="Arial"/>
        </w:rPr>
        <w:t xml:space="preserve">, proto pro výpočet uvedené </w:t>
      </w:r>
      <w:r w:rsidR="00223322" w:rsidRPr="00AF28AB">
        <w:rPr>
          <w:rFonts w:cs="Arial"/>
        </w:rPr>
        <w:t xml:space="preserve">nákladové </w:t>
      </w:r>
      <w:r w:rsidRPr="00AF28AB">
        <w:rPr>
          <w:rFonts w:cs="Arial"/>
        </w:rPr>
        <w:t>složky se využije procentní přirážka.</w:t>
      </w:r>
    </w:p>
    <w:p w14:paraId="2CCBEEA4" w14:textId="77777777" w:rsidR="00C77F1D" w:rsidRPr="000C234A" w:rsidRDefault="00BB77DA" w:rsidP="00F67923">
      <w:pPr>
        <w:overflowPunct/>
        <w:autoSpaceDE/>
        <w:autoSpaceDN/>
        <w:adjustRightInd/>
        <w:spacing w:before="240" w:after="240"/>
        <w:jc w:val="both"/>
        <w:textAlignment w:val="auto"/>
        <w:rPr>
          <w:rFonts w:ascii="Arial" w:hAnsi="Arial" w:cs="Arial"/>
          <w:sz w:val="24"/>
        </w:rPr>
      </w:pPr>
      <w:r w:rsidRPr="000C234A">
        <w:rPr>
          <w:rFonts w:ascii="Arial" w:hAnsi="Arial" w:cs="Arial"/>
          <w:noProof/>
        </w:rPr>
        <w:drawing>
          <wp:inline distT="0" distB="0" distL="0" distR="0" wp14:anchorId="5D983FA7" wp14:editId="34CEE2FA">
            <wp:extent cx="5769735" cy="688975"/>
            <wp:effectExtent l="0" t="0" r="254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3039" cy="689370"/>
                    </a:xfrm>
                    <a:prstGeom prst="rect">
                      <a:avLst/>
                    </a:prstGeom>
                    <a:noFill/>
                    <a:ln>
                      <a:noFill/>
                    </a:ln>
                  </pic:spPr>
                </pic:pic>
              </a:graphicData>
            </a:graphic>
          </wp:inline>
        </w:drawing>
      </w:r>
    </w:p>
    <w:p w14:paraId="268EE1C5" w14:textId="77777777" w:rsidR="000A06B5" w:rsidRPr="000C234A" w:rsidRDefault="00274CBF" w:rsidP="00F67923">
      <w:pPr>
        <w:pStyle w:val="Vvojcen-zkladntext"/>
        <w:rPr>
          <w:rFonts w:cs="Arial"/>
          <w:sz w:val="24"/>
        </w:rPr>
      </w:pPr>
      <w:r w:rsidRPr="00975ACC">
        <w:rPr>
          <w:rFonts w:cs="Arial"/>
        </w:rPr>
        <w:lastRenderedPageBreak/>
        <w:t>Každý povinný subjekt s využitím podkladů z vlastní účetní</w:t>
      </w:r>
      <w:r w:rsidR="00223322" w:rsidRPr="00975ACC">
        <w:rPr>
          <w:rFonts w:cs="Arial"/>
        </w:rPr>
        <w:t xml:space="preserve"> a controllingové evidence</w:t>
      </w:r>
      <w:r w:rsidRPr="00975ACC">
        <w:rPr>
          <w:rFonts w:cs="Arial"/>
        </w:rPr>
        <w:t xml:space="preserve"> </w:t>
      </w:r>
      <w:r w:rsidR="007932A3" w:rsidRPr="00B05191">
        <w:rPr>
          <w:rFonts w:cs="Arial"/>
        </w:rPr>
        <w:t>definuje</w:t>
      </w:r>
      <w:r w:rsidRPr="00B300B4">
        <w:rPr>
          <w:rFonts w:cs="Arial"/>
        </w:rPr>
        <w:t xml:space="preserve"> </w:t>
      </w:r>
      <w:r w:rsidR="00223322" w:rsidRPr="00B300B4">
        <w:rPr>
          <w:rFonts w:cs="Arial"/>
        </w:rPr>
        <w:t>přiměřený rozsah</w:t>
      </w:r>
      <w:r w:rsidRPr="00B300B4">
        <w:rPr>
          <w:rFonts w:cs="Arial"/>
        </w:rPr>
        <w:t xml:space="preserve"> nákladů na prodej a péči o zákazníka</w:t>
      </w:r>
      <w:r w:rsidR="00E168E5" w:rsidRPr="00B300B4">
        <w:rPr>
          <w:rFonts w:cs="Arial"/>
        </w:rPr>
        <w:t>. Na tomto</w:t>
      </w:r>
      <w:r w:rsidR="007932A3" w:rsidRPr="00B300B4">
        <w:rPr>
          <w:rFonts w:cs="Arial"/>
        </w:rPr>
        <w:t xml:space="preserve"> základě</w:t>
      </w:r>
      <w:r w:rsidR="00E168E5" w:rsidRPr="00B300B4">
        <w:rPr>
          <w:rFonts w:cs="Arial"/>
        </w:rPr>
        <w:t xml:space="preserve"> stanoví </w:t>
      </w:r>
      <w:r w:rsidR="007932A3" w:rsidRPr="00CA4021">
        <w:rPr>
          <w:rFonts w:cs="Arial"/>
        </w:rPr>
        <w:t>porovnání</w:t>
      </w:r>
      <w:r w:rsidR="00E168E5" w:rsidRPr="00CA4021">
        <w:rPr>
          <w:rFonts w:cs="Arial"/>
        </w:rPr>
        <w:t>m</w:t>
      </w:r>
      <w:r w:rsidR="007932A3" w:rsidRPr="00CA4021">
        <w:rPr>
          <w:rFonts w:cs="Arial"/>
        </w:rPr>
        <w:t xml:space="preserve"> s objemem </w:t>
      </w:r>
      <w:r w:rsidRPr="00CA4021">
        <w:rPr>
          <w:rFonts w:cs="Arial"/>
        </w:rPr>
        <w:t>roční</w:t>
      </w:r>
      <w:r w:rsidR="007932A3" w:rsidRPr="00CA4021">
        <w:rPr>
          <w:rFonts w:cs="Arial"/>
        </w:rPr>
        <w:t>ch</w:t>
      </w:r>
      <w:r w:rsidRPr="00CA4021">
        <w:rPr>
          <w:rFonts w:cs="Arial"/>
        </w:rPr>
        <w:t xml:space="preserve"> provozní</w:t>
      </w:r>
      <w:r w:rsidR="007932A3" w:rsidRPr="00CA4021">
        <w:rPr>
          <w:rFonts w:cs="Arial"/>
        </w:rPr>
        <w:t>ch</w:t>
      </w:r>
      <w:r w:rsidRPr="00CA4021">
        <w:rPr>
          <w:rFonts w:cs="Arial"/>
        </w:rPr>
        <w:t xml:space="preserve"> nákladů </w:t>
      </w:r>
      <w:r w:rsidR="007932A3" w:rsidRPr="00CA4021">
        <w:rPr>
          <w:rFonts w:cs="Arial"/>
        </w:rPr>
        <w:t>včetně</w:t>
      </w:r>
      <w:r w:rsidRPr="00CA4021">
        <w:rPr>
          <w:rFonts w:cs="Arial"/>
        </w:rPr>
        <w:t xml:space="preserve"> ročních odpisů</w:t>
      </w:r>
      <w:r w:rsidR="007932A3" w:rsidRPr="00CA4021">
        <w:rPr>
          <w:rFonts w:cs="Arial"/>
        </w:rPr>
        <w:t xml:space="preserve"> přirážku v procentech</w:t>
      </w:r>
      <w:r w:rsidRPr="00A533AC">
        <w:rPr>
          <w:rFonts w:cs="Arial"/>
        </w:rPr>
        <w:t>.</w:t>
      </w:r>
      <w:r w:rsidR="00E168E5" w:rsidRPr="009B2DD6">
        <w:rPr>
          <w:rFonts w:cs="Arial"/>
        </w:rPr>
        <w:t xml:space="preserve"> </w:t>
      </w:r>
      <w:r w:rsidR="00AE4A88" w:rsidRPr="009B2DD6">
        <w:rPr>
          <w:rFonts w:cs="Arial"/>
        </w:rPr>
        <w:t xml:space="preserve">Hodnoty pro výpočet přirážky nákladů na prodej a péči o zákazníka by </w:t>
      </w:r>
      <w:r w:rsidR="00E168E5" w:rsidRPr="00AF28AB">
        <w:rPr>
          <w:rFonts w:cs="Arial"/>
        </w:rPr>
        <w:t xml:space="preserve">měly vyjadřovat aktuální úroveň těchto nákladů a </w:t>
      </w:r>
      <w:r w:rsidR="00AE4A88" w:rsidRPr="00AF28AB">
        <w:rPr>
          <w:rFonts w:cs="Arial"/>
        </w:rPr>
        <w:t>neměly</w:t>
      </w:r>
      <w:r w:rsidR="00E1246D" w:rsidRPr="00AF28AB">
        <w:rPr>
          <w:rFonts w:cs="Arial"/>
        </w:rPr>
        <w:t xml:space="preserve"> by</w:t>
      </w:r>
      <w:r w:rsidR="00AE4A88" w:rsidRPr="008A1875">
        <w:rPr>
          <w:rFonts w:cs="Arial"/>
        </w:rPr>
        <w:t xml:space="preserve"> být </w:t>
      </w:r>
      <w:r w:rsidR="00E168E5" w:rsidRPr="008A1875">
        <w:rPr>
          <w:rFonts w:cs="Arial"/>
        </w:rPr>
        <w:t xml:space="preserve">čerpány </w:t>
      </w:r>
      <w:r w:rsidR="00AE4A88" w:rsidRPr="008A1875">
        <w:rPr>
          <w:rFonts w:cs="Arial"/>
        </w:rPr>
        <w:t>z účetních podkladů za ob</w:t>
      </w:r>
      <w:r w:rsidR="00AE4A88" w:rsidRPr="00BF6EEA">
        <w:rPr>
          <w:rFonts w:cs="Arial"/>
        </w:rPr>
        <w:t xml:space="preserve">dobí </w:t>
      </w:r>
      <w:r w:rsidR="00E1246D" w:rsidRPr="00BF6EEA">
        <w:rPr>
          <w:rFonts w:cs="Arial"/>
        </w:rPr>
        <w:t>starší než 3 roky.</w:t>
      </w:r>
      <w:r w:rsidR="00AE4A88" w:rsidRPr="00BF6EEA">
        <w:rPr>
          <w:rFonts w:cs="Arial"/>
        </w:rPr>
        <w:t xml:space="preserve"> Tuto přirážku lze v pravidelných intervalech </w:t>
      </w:r>
      <w:r w:rsidR="00E168E5" w:rsidRPr="00BF6EEA">
        <w:rPr>
          <w:rFonts w:cs="Arial"/>
        </w:rPr>
        <w:t xml:space="preserve">verifikovat a </w:t>
      </w:r>
      <w:r w:rsidR="00AE4A88" w:rsidRPr="00BF6EEA">
        <w:rPr>
          <w:rFonts w:cs="Arial"/>
        </w:rPr>
        <w:t>aktualizovat</w:t>
      </w:r>
      <w:r w:rsidR="00E168E5" w:rsidRPr="00BF6EEA">
        <w:rPr>
          <w:rFonts w:cs="Arial"/>
        </w:rPr>
        <w:t xml:space="preserve">, nicméně v zájmu předvídatelnosti a stability podmínek pronájmu </w:t>
      </w:r>
      <w:r w:rsidR="00E1246D" w:rsidRPr="00BF6EEA">
        <w:rPr>
          <w:rFonts w:cs="Arial"/>
        </w:rPr>
        <w:t>se předpokládá, že</w:t>
      </w:r>
      <w:r w:rsidR="00E168E5" w:rsidRPr="00BF6EEA">
        <w:rPr>
          <w:rFonts w:cs="Arial"/>
        </w:rPr>
        <w:t xml:space="preserve"> změna</w:t>
      </w:r>
      <w:r w:rsidR="00E1246D" w:rsidRPr="00436AFC">
        <w:rPr>
          <w:rFonts w:cs="Arial"/>
        </w:rPr>
        <w:t xml:space="preserve"> výpočtu této skupiny</w:t>
      </w:r>
      <w:r w:rsidR="00E168E5" w:rsidRPr="002A0BB4">
        <w:rPr>
          <w:rFonts w:cs="Arial"/>
        </w:rPr>
        <w:t xml:space="preserve"> nákladů by se mohla uskutečnit zpravidla 1x za 3 roky</w:t>
      </w:r>
      <w:r w:rsidR="00AE4A88" w:rsidRPr="000D1C88">
        <w:rPr>
          <w:rFonts w:cs="Arial"/>
        </w:rPr>
        <w:t>.</w:t>
      </w:r>
      <w:r w:rsidR="009E2C85" w:rsidRPr="000D1C88">
        <w:rPr>
          <w:rFonts w:cs="Arial"/>
        </w:rPr>
        <w:t xml:space="preserve"> Cílem takto zvoleného výpočtu je zahrnout náklady na prodej a péči o zákazníka do ceny zpřístupňované infrastruktury maximálně jen v té míře, v jaké je (v průměru) povinný subjekt uplatňuje u svých ostatní služeb.</w:t>
      </w:r>
    </w:p>
    <w:p w14:paraId="52781463" w14:textId="77777777" w:rsidR="00C77F1D" w:rsidRPr="00975ACC" w:rsidRDefault="00C77F1D" w:rsidP="00F67923">
      <w:pPr>
        <w:pStyle w:val="Vvojcen-nadpis2"/>
        <w:rPr>
          <w:rFonts w:eastAsia="MS Mincho"/>
          <w:lang w:eastAsia="ja-JP"/>
        </w:rPr>
      </w:pPr>
      <w:bookmarkStart w:id="160" w:name="_Toc484008779"/>
      <w:bookmarkStart w:id="161" w:name="_Toc484009771"/>
      <w:bookmarkStart w:id="162" w:name="_Toc484009828"/>
      <w:bookmarkStart w:id="163" w:name="_Toc484009885"/>
      <w:bookmarkStart w:id="164" w:name="_Toc484009963"/>
      <w:bookmarkStart w:id="165" w:name="_Toc484010741"/>
      <w:bookmarkStart w:id="166" w:name="_Toc484008780"/>
      <w:bookmarkStart w:id="167" w:name="_Toc484009772"/>
      <w:bookmarkStart w:id="168" w:name="_Toc484009829"/>
      <w:bookmarkStart w:id="169" w:name="_Toc484009886"/>
      <w:bookmarkStart w:id="170" w:name="_Toc484009964"/>
      <w:bookmarkStart w:id="171" w:name="_Toc484010742"/>
      <w:bookmarkStart w:id="172" w:name="_Toc496446447"/>
      <w:bookmarkStart w:id="173" w:name="_Toc496518801"/>
      <w:bookmarkEnd w:id="160"/>
      <w:bookmarkEnd w:id="161"/>
      <w:bookmarkEnd w:id="162"/>
      <w:bookmarkEnd w:id="163"/>
      <w:bookmarkEnd w:id="164"/>
      <w:bookmarkEnd w:id="165"/>
      <w:bookmarkEnd w:id="166"/>
      <w:bookmarkEnd w:id="167"/>
      <w:bookmarkEnd w:id="168"/>
      <w:bookmarkEnd w:id="169"/>
      <w:bookmarkEnd w:id="170"/>
      <w:bookmarkEnd w:id="171"/>
      <w:r w:rsidRPr="00975ACC">
        <w:rPr>
          <w:rFonts w:eastAsia="MS Mincho"/>
          <w:lang w:eastAsia="ja-JP"/>
        </w:rPr>
        <w:t>Režie</w:t>
      </w:r>
      <w:bookmarkEnd w:id="172"/>
      <w:bookmarkEnd w:id="173"/>
      <w:r w:rsidRPr="00975ACC">
        <w:rPr>
          <w:rFonts w:eastAsia="MS Mincho"/>
          <w:lang w:eastAsia="ja-JP"/>
        </w:rPr>
        <w:t xml:space="preserve"> </w:t>
      </w:r>
    </w:p>
    <w:p w14:paraId="63B3014A" w14:textId="77777777" w:rsidR="00C77F1D" w:rsidRPr="00A533AC" w:rsidRDefault="00C77F1D" w:rsidP="00F67923">
      <w:pPr>
        <w:pStyle w:val="Vvojcen-zkladntext"/>
        <w:rPr>
          <w:rFonts w:cs="Arial"/>
        </w:rPr>
      </w:pPr>
      <w:r w:rsidRPr="00975ACC">
        <w:rPr>
          <w:rFonts w:cs="Arial"/>
        </w:rPr>
        <w:t xml:space="preserve">Výše režijních nákladů na </w:t>
      </w:r>
      <w:r w:rsidR="00FB69BD" w:rsidRPr="00975ACC">
        <w:rPr>
          <w:rFonts w:cs="Arial"/>
        </w:rPr>
        <w:t xml:space="preserve">všeobecnou </w:t>
      </w:r>
      <w:r w:rsidRPr="00975ACC">
        <w:rPr>
          <w:rFonts w:cs="Arial"/>
        </w:rPr>
        <w:t xml:space="preserve">administrativu a řízení </w:t>
      </w:r>
      <w:r w:rsidR="00FB69BD" w:rsidRPr="00B05191">
        <w:rPr>
          <w:rFonts w:cs="Arial"/>
        </w:rPr>
        <w:t xml:space="preserve">společnosti </w:t>
      </w:r>
      <w:r w:rsidRPr="00B05191">
        <w:rPr>
          <w:rFonts w:cs="Arial"/>
        </w:rPr>
        <w:t xml:space="preserve">poskytovatele </w:t>
      </w:r>
      <w:r w:rsidR="00A70DDA" w:rsidRPr="00B300B4">
        <w:rPr>
          <w:rFonts w:cs="Arial"/>
        </w:rPr>
        <w:t xml:space="preserve">pronájmu </w:t>
      </w:r>
      <w:r w:rsidRPr="00B300B4">
        <w:rPr>
          <w:rFonts w:cs="Arial"/>
        </w:rPr>
        <w:t xml:space="preserve">se pro všechny prvky fyzické infrastruktury vypočte procentní přirážkou </w:t>
      </w:r>
      <w:r w:rsidR="00A70DDA" w:rsidRPr="00B300B4">
        <w:rPr>
          <w:rFonts w:cs="Arial"/>
        </w:rPr>
        <w:t xml:space="preserve">ke všem </w:t>
      </w:r>
      <w:r w:rsidR="00BB77DA" w:rsidRPr="00CA4021">
        <w:rPr>
          <w:rFonts w:cs="Arial"/>
        </w:rPr>
        <w:t xml:space="preserve">doposud </w:t>
      </w:r>
      <w:r w:rsidR="00A70DDA" w:rsidRPr="00CA4021">
        <w:rPr>
          <w:rFonts w:cs="Arial"/>
        </w:rPr>
        <w:t>přiřazeným nákladům.</w:t>
      </w:r>
      <w:r w:rsidR="00EA58E4" w:rsidRPr="00CA4021">
        <w:rPr>
          <w:rFonts w:cs="Arial"/>
        </w:rPr>
        <w:t xml:space="preserve"> Cílem takto zvoleného výpočtu je zahrnout režijní náklady do ceny zpřístupňované infrastruktury maximálně jen v té míře, v jaké je (v průměru) povinný subjekt uplatňuje u svých ostatní služeb.</w:t>
      </w:r>
    </w:p>
    <w:p w14:paraId="6545603A" w14:textId="77777777" w:rsidR="00C77F1D" w:rsidRPr="000C234A" w:rsidRDefault="00BB77DA" w:rsidP="00601CA4">
      <w:pPr>
        <w:overflowPunct/>
        <w:autoSpaceDE/>
        <w:autoSpaceDN/>
        <w:adjustRightInd/>
        <w:spacing w:before="120" w:after="120"/>
        <w:jc w:val="both"/>
        <w:textAlignment w:val="auto"/>
        <w:rPr>
          <w:rFonts w:ascii="Arial" w:hAnsi="Arial" w:cs="Arial"/>
          <w:sz w:val="24"/>
        </w:rPr>
      </w:pPr>
      <w:r w:rsidRPr="000C234A">
        <w:rPr>
          <w:rFonts w:ascii="Arial" w:hAnsi="Arial" w:cs="Arial"/>
          <w:noProof/>
        </w:rPr>
        <w:drawing>
          <wp:inline distT="0" distB="0" distL="0" distR="0" wp14:anchorId="7FE66D94" wp14:editId="4606C206">
            <wp:extent cx="5760720" cy="593734"/>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593734"/>
                    </a:xfrm>
                    <a:prstGeom prst="rect">
                      <a:avLst/>
                    </a:prstGeom>
                    <a:noFill/>
                    <a:ln>
                      <a:noFill/>
                    </a:ln>
                  </pic:spPr>
                </pic:pic>
              </a:graphicData>
            </a:graphic>
          </wp:inline>
        </w:drawing>
      </w:r>
    </w:p>
    <w:p w14:paraId="318983F0" w14:textId="77777777" w:rsidR="009406D8" w:rsidRPr="00975ACC" w:rsidRDefault="009406D8" w:rsidP="00F67923">
      <w:pPr>
        <w:pStyle w:val="Vvojcen-nadpis1"/>
        <w:rPr>
          <w:rFonts w:eastAsia="MS Mincho"/>
          <w:lang w:eastAsia="ja-JP"/>
        </w:rPr>
      </w:pPr>
      <w:bookmarkStart w:id="174" w:name="_Toc484008782"/>
      <w:bookmarkStart w:id="175" w:name="_Toc484009774"/>
      <w:bookmarkStart w:id="176" w:name="_Toc484009831"/>
      <w:bookmarkStart w:id="177" w:name="_Toc484009888"/>
      <w:bookmarkStart w:id="178" w:name="_Toc484009966"/>
      <w:bookmarkStart w:id="179" w:name="_Toc484010744"/>
      <w:bookmarkStart w:id="180" w:name="_Toc496446448"/>
      <w:bookmarkStart w:id="181" w:name="_Toc496518802"/>
      <w:bookmarkEnd w:id="174"/>
      <w:bookmarkEnd w:id="175"/>
      <w:bookmarkEnd w:id="176"/>
      <w:bookmarkEnd w:id="177"/>
      <w:bookmarkEnd w:id="178"/>
      <w:bookmarkEnd w:id="179"/>
      <w:r w:rsidRPr="00975ACC">
        <w:rPr>
          <w:rFonts w:eastAsia="MS Mincho"/>
          <w:lang w:eastAsia="ja-JP"/>
        </w:rPr>
        <w:t>Jednorázové ceny za služby</w:t>
      </w:r>
      <w:r w:rsidR="00C47F79" w:rsidRPr="00975ACC">
        <w:rPr>
          <w:rFonts w:eastAsia="MS Mincho"/>
          <w:lang w:eastAsia="ja-JP"/>
        </w:rPr>
        <w:t xml:space="preserve"> spojené s pronájmem</w:t>
      </w:r>
      <w:r w:rsidRPr="00975ACC">
        <w:rPr>
          <w:rFonts w:eastAsia="MS Mincho"/>
          <w:lang w:eastAsia="ja-JP"/>
        </w:rPr>
        <w:t xml:space="preserve"> fyzické infrastruktury</w:t>
      </w:r>
      <w:bookmarkEnd w:id="180"/>
      <w:bookmarkEnd w:id="181"/>
    </w:p>
    <w:p w14:paraId="03975320" w14:textId="77777777" w:rsidR="00601CA4" w:rsidRPr="00A533AC" w:rsidRDefault="009406D8" w:rsidP="00F67923">
      <w:pPr>
        <w:pStyle w:val="Vvojcen-zkladntext"/>
        <w:rPr>
          <w:rFonts w:cs="Arial"/>
        </w:rPr>
      </w:pPr>
      <w:r w:rsidRPr="00B05191">
        <w:rPr>
          <w:rFonts w:cs="Arial"/>
        </w:rPr>
        <w:t xml:space="preserve">Vedle pravidelných měsíčních cen za pronájem fyzické infrastruktury </w:t>
      </w:r>
      <w:r w:rsidR="00877576" w:rsidRPr="00B300B4">
        <w:rPr>
          <w:rFonts w:cs="Arial"/>
        </w:rPr>
        <w:t xml:space="preserve">je poskytovatel pronájmu oprávněn </w:t>
      </w:r>
      <w:r w:rsidR="00F978E5" w:rsidRPr="00CA4021">
        <w:rPr>
          <w:rFonts w:cs="Arial"/>
        </w:rPr>
        <w:t xml:space="preserve">účtovat i jednorázové ceny za poskytnutí služby přístupu k fyzické infrastruktuře. </w:t>
      </w:r>
    </w:p>
    <w:p w14:paraId="5F5CAA4C" w14:textId="6F6FEEC0" w:rsidR="00926FA3" w:rsidRPr="00975ACC" w:rsidRDefault="00926FA3" w:rsidP="00F67923">
      <w:pPr>
        <w:pStyle w:val="Vvojcen-zkladntext"/>
        <w:rPr>
          <w:rFonts w:cs="Arial"/>
        </w:rPr>
      </w:pPr>
      <w:r w:rsidRPr="009B2DD6">
        <w:rPr>
          <w:rFonts w:cs="Arial"/>
        </w:rPr>
        <w:t>Mezi tyto jednorázové náklady patří</w:t>
      </w:r>
      <w:r w:rsidR="00D901D3" w:rsidRPr="000C234A">
        <w:rPr>
          <w:rFonts w:cs="Arial"/>
        </w:rPr>
        <w:t xml:space="preserve"> náklady uvedené v následujících podkapitolách</w:t>
      </w:r>
      <w:r w:rsidR="00D901D3" w:rsidRPr="00B05191">
        <w:rPr>
          <w:rFonts w:cs="Arial"/>
        </w:rPr>
        <w:t>.</w:t>
      </w:r>
    </w:p>
    <w:p w14:paraId="00FDFDE1" w14:textId="77777777" w:rsidR="00F978E5" w:rsidRPr="00975ACC" w:rsidRDefault="00F978E5" w:rsidP="00F67923">
      <w:pPr>
        <w:pStyle w:val="Vvojcen-nadpis2"/>
      </w:pPr>
      <w:bookmarkStart w:id="182" w:name="_Toc496446449"/>
      <w:bookmarkStart w:id="183" w:name="_Toc496518803"/>
      <w:r w:rsidRPr="00975ACC">
        <w:t>Průzkum fyzické infrastruktury na místě</w:t>
      </w:r>
      <w:bookmarkEnd w:id="182"/>
      <w:bookmarkEnd w:id="183"/>
    </w:p>
    <w:p w14:paraId="2B01532B" w14:textId="77777777" w:rsidR="009406D8" w:rsidRPr="00CA4021" w:rsidRDefault="00F978E5" w:rsidP="00F67923">
      <w:pPr>
        <w:pStyle w:val="Vvojcen-zkladntext"/>
        <w:rPr>
          <w:rFonts w:cs="Arial"/>
        </w:rPr>
      </w:pPr>
      <w:r w:rsidRPr="00B05191">
        <w:rPr>
          <w:rFonts w:cs="Arial"/>
        </w:rPr>
        <w:t xml:space="preserve">Cenu vypočte poskytovatel služby na základě individuální kalkulace nezbytných úkonů odpovídající požadovanému typu fyzické infrastruktury. Kalkulace může zahrnovat úkony </w:t>
      </w:r>
      <w:r w:rsidR="00553DBB" w:rsidRPr="00B300B4">
        <w:rPr>
          <w:rFonts w:cs="Arial"/>
        </w:rPr>
        <w:t>povinné osoby, které směřují ke zjišťování konkrétního stavu daného prvku, výdaje na cestovné a případně další výdaje např. v souvislosti s omezením vlastnického práva, a to v nezbytném od</w:t>
      </w:r>
      <w:r w:rsidR="00553DBB" w:rsidRPr="00CA4021">
        <w:rPr>
          <w:rFonts w:cs="Arial"/>
        </w:rPr>
        <w:t>ůvodněném rozsahu.</w:t>
      </w:r>
    </w:p>
    <w:p w14:paraId="6CE05576" w14:textId="77777777" w:rsidR="00553DBB" w:rsidRPr="00975ACC" w:rsidRDefault="00553DBB" w:rsidP="00F67923">
      <w:pPr>
        <w:pStyle w:val="Vvojcen-nadpis2"/>
      </w:pPr>
      <w:bookmarkStart w:id="184" w:name="_Toc496446450"/>
      <w:bookmarkStart w:id="185" w:name="_Toc496518804"/>
      <w:r w:rsidRPr="00975ACC">
        <w:t>Projekt technického provedení přístupu k fyzické infrastruktuře</w:t>
      </w:r>
      <w:bookmarkEnd w:id="184"/>
      <w:bookmarkEnd w:id="185"/>
    </w:p>
    <w:p w14:paraId="753B8816" w14:textId="77777777" w:rsidR="007F54A6" w:rsidRPr="00BF6EEA" w:rsidRDefault="007F54A6" w:rsidP="00F67923">
      <w:pPr>
        <w:pStyle w:val="Vvojcen-zkladntext"/>
        <w:rPr>
          <w:rFonts w:cs="Arial"/>
        </w:rPr>
      </w:pPr>
      <w:r w:rsidRPr="00CA4021">
        <w:rPr>
          <w:rFonts w:cs="Arial"/>
        </w:rPr>
        <w:t>Součástí realizace přístupu k fyzické infrastruktuře je zpravidla i technický projekt, kde jsou stanoveny detaily a podmínky celého řešení, místa vstupu do infrastruktury</w:t>
      </w:r>
      <w:r w:rsidR="003825CE" w:rsidRPr="00A533AC">
        <w:rPr>
          <w:rFonts w:cs="Arial"/>
        </w:rPr>
        <w:t xml:space="preserve"> či</w:t>
      </w:r>
      <w:r w:rsidRPr="009B2DD6">
        <w:rPr>
          <w:rFonts w:cs="Arial"/>
        </w:rPr>
        <w:t xml:space="preserve"> posouzení statických </w:t>
      </w:r>
      <w:r w:rsidR="00254E33" w:rsidRPr="00AF28AB">
        <w:rPr>
          <w:rFonts w:cs="Arial"/>
        </w:rPr>
        <w:t xml:space="preserve">parametrů pro nadzemní prvky. </w:t>
      </w:r>
      <w:r w:rsidR="003825CE" w:rsidRPr="00AF28AB">
        <w:rPr>
          <w:rFonts w:cs="Arial"/>
        </w:rPr>
        <w:t>V praxi se může jednat např. o problém umístění anténních systémů na stožáry a s tím spojené posouzení statiky a dynamic</w:t>
      </w:r>
      <w:r w:rsidR="003825CE" w:rsidRPr="008A1875">
        <w:rPr>
          <w:rFonts w:cs="Arial"/>
        </w:rPr>
        <w:t xml:space="preserve">kého namáhání stožárů a anténních nosičů a další podobné otázky. </w:t>
      </w:r>
      <w:r w:rsidR="00254E33" w:rsidRPr="00BF6EEA">
        <w:rPr>
          <w:rFonts w:cs="Arial"/>
        </w:rPr>
        <w:t>Vzhledem k tomu, že se jedná o specifické znalosti</w:t>
      </w:r>
      <w:r w:rsidR="00B719AA" w:rsidRPr="00BF6EEA">
        <w:rPr>
          <w:rFonts w:cs="Arial"/>
        </w:rPr>
        <w:t xml:space="preserve"> a informace spadající do oblasti know-how provozovatele infrastruktury, je nutné, aby tento projekt byl vypracován přímo povinnou osobou nebo třetí stranou, která je k této činnosti povinnou osobou autorizována.</w:t>
      </w:r>
    </w:p>
    <w:p w14:paraId="07E0B21A" w14:textId="34272B2B" w:rsidR="00254E33" w:rsidRPr="001C3993" w:rsidRDefault="004A7C11" w:rsidP="000C234A">
      <w:pPr>
        <w:pStyle w:val="Vvojcen-zkladntext"/>
      </w:pPr>
      <w:r w:rsidRPr="00BF6EEA">
        <w:t xml:space="preserve">Oprávněná osoba uhradí </w:t>
      </w:r>
      <w:r w:rsidR="00F7328D" w:rsidRPr="002A0BB4">
        <w:t xml:space="preserve">nezbytný </w:t>
      </w:r>
      <w:r w:rsidRPr="002A0BB4">
        <w:t>rozsah výdajů na projekt povinnému subjektu nebo na základě dohody přímo autorizovanému dodavateli projektu</w:t>
      </w:r>
      <w:r w:rsidR="003825CE" w:rsidRPr="000D1C88">
        <w:t xml:space="preserve">, na kterém se obě strany </w:t>
      </w:r>
      <w:r w:rsidR="003825CE" w:rsidRPr="000D1C88">
        <w:lastRenderedPageBreak/>
        <w:t>shodnou</w:t>
      </w:r>
      <w:r w:rsidRPr="000D1C88">
        <w:t>. Kalkulace ceny může zahrnovat pouze úkony v nezbytném odůvodněném rozsahu. V každém případě je nezbytné, aby oprávněná osoba měla možnost dohodnou</w:t>
      </w:r>
      <w:r w:rsidR="00CA5A50" w:rsidRPr="001C3993">
        <w:t>t</w:t>
      </w:r>
      <w:r w:rsidRPr="001C3993">
        <w:t xml:space="preserve"> a odsouhlasit předpokládaný rozsah projektu, a tím </w:t>
      </w:r>
      <w:r w:rsidR="00CA5A50" w:rsidRPr="001C3993">
        <w:t>si zajistit</w:t>
      </w:r>
      <w:r w:rsidRPr="001C3993">
        <w:t xml:space="preserve"> kontrolu nad</w:t>
      </w:r>
      <w:r w:rsidR="00CA5A50" w:rsidRPr="001C3993">
        <w:t xml:space="preserve"> rozsahem kalkulovaných výdajů.</w:t>
      </w:r>
      <w:r w:rsidRPr="001C3993">
        <w:t xml:space="preserve"> </w:t>
      </w:r>
    </w:p>
    <w:p w14:paraId="521D3788" w14:textId="77777777" w:rsidR="00926FA3" w:rsidRPr="00B05191" w:rsidRDefault="00926FA3" w:rsidP="00926FA3">
      <w:pPr>
        <w:pStyle w:val="Vvojcen-nadpis2"/>
      </w:pPr>
      <w:bookmarkStart w:id="186" w:name="_Toc496446451"/>
      <w:bookmarkStart w:id="187" w:name="_Toc496518805"/>
      <w:r w:rsidRPr="00B05191">
        <w:t>Přípravné práce spojené s projektem a provedením stav</w:t>
      </w:r>
      <w:r w:rsidR="00696E80" w:rsidRPr="000C234A">
        <w:t>b</w:t>
      </w:r>
      <w:r w:rsidRPr="00B05191">
        <w:t>y</w:t>
      </w:r>
      <w:bookmarkEnd w:id="186"/>
      <w:bookmarkEnd w:id="187"/>
    </w:p>
    <w:p w14:paraId="45E83D10" w14:textId="2C4AC0EE" w:rsidR="00926FA3" w:rsidRPr="00B05191" w:rsidRDefault="00604E9E" w:rsidP="000C234A">
      <w:pPr>
        <w:pStyle w:val="Vvojcen-zkladntext"/>
      </w:pPr>
      <w:r w:rsidRPr="00B05191">
        <w:t xml:space="preserve">Oprávněná osoba uhradí </w:t>
      </w:r>
      <w:r w:rsidRPr="000C234A">
        <w:t xml:space="preserve">nezbytný a odůvodněný </w:t>
      </w:r>
      <w:r w:rsidRPr="00B05191">
        <w:t>rozsah výdajů</w:t>
      </w:r>
      <w:r w:rsidR="00F7328D" w:rsidRPr="000C234A">
        <w:t xml:space="preserve"> spojených s přípravnými pracemi projektu a následné stavby. </w:t>
      </w:r>
      <w:r w:rsidRPr="000C234A">
        <w:t xml:space="preserve">Mezi tyto náklady patří zejména </w:t>
      </w:r>
      <w:r w:rsidR="00926FA3" w:rsidRPr="000C234A">
        <w:t>geodetick</w:t>
      </w:r>
      <w:r w:rsidRPr="000C234A">
        <w:t>é</w:t>
      </w:r>
      <w:r w:rsidR="00926FA3" w:rsidRPr="000C234A">
        <w:t xml:space="preserve"> pr</w:t>
      </w:r>
      <w:r w:rsidRPr="000C234A">
        <w:t>á</w:t>
      </w:r>
      <w:r w:rsidR="00926FA3" w:rsidRPr="000C234A">
        <w:t>ce</w:t>
      </w:r>
      <w:r w:rsidRPr="000C234A">
        <w:t xml:space="preserve"> a další</w:t>
      </w:r>
      <w:r w:rsidR="00926FA3" w:rsidRPr="000C234A">
        <w:t xml:space="preserve"> </w:t>
      </w:r>
      <w:r w:rsidRPr="000C234A">
        <w:t xml:space="preserve">přípravné úkony související </w:t>
      </w:r>
      <w:r w:rsidRPr="00B05191">
        <w:t>s poskytnutím přístupu k fyzické infrastruktuře.</w:t>
      </w:r>
    </w:p>
    <w:p w14:paraId="797B74C9" w14:textId="77777777" w:rsidR="005477F8" w:rsidRPr="00B05191" w:rsidRDefault="005477F8" w:rsidP="000C234A">
      <w:pPr>
        <w:pStyle w:val="Vvojcen-zkladntext"/>
        <w:spacing w:after="360"/>
      </w:pPr>
      <w:r w:rsidRPr="000C234A">
        <w:t>Součástí jednorázové úhrady jsou i náklady na inkrementální dovybavení fyzické infrastruktury včetně montáže, např. o výložníky, konzole, svody na zem apod., pokud se dotčené osoby nedohodnou na postupném splácení těchto výdajů v ceně měsíčního pronájmu fyzické infrastruktury.</w:t>
      </w:r>
    </w:p>
    <w:p w14:paraId="103C4B64" w14:textId="77777777" w:rsidR="00076582" w:rsidRPr="00B05191" w:rsidRDefault="0011477D" w:rsidP="00EA58E4">
      <w:pPr>
        <w:pStyle w:val="Vvojcen-zkladntext"/>
        <w:ind w:firstLine="0"/>
        <w:rPr>
          <w:rFonts w:cs="Arial"/>
        </w:rPr>
      </w:pPr>
      <w:r w:rsidRPr="00B05191">
        <w:rPr>
          <w:rFonts w:cs="Arial"/>
        </w:rPr>
        <w:t xml:space="preserve">Příloha: Model kalkulace </w:t>
      </w:r>
      <w:r w:rsidR="00553DBB" w:rsidRPr="00B05191">
        <w:rPr>
          <w:rFonts w:cs="Arial"/>
        </w:rPr>
        <w:t xml:space="preserve">nákladů na přístup k </w:t>
      </w:r>
      <w:r w:rsidRPr="00B05191">
        <w:rPr>
          <w:rFonts w:cs="Arial"/>
        </w:rPr>
        <w:t>prvků</w:t>
      </w:r>
      <w:r w:rsidR="00553DBB" w:rsidRPr="00B05191">
        <w:rPr>
          <w:rFonts w:cs="Arial"/>
        </w:rPr>
        <w:t>m</w:t>
      </w:r>
      <w:r w:rsidRPr="00B05191">
        <w:rPr>
          <w:rFonts w:cs="Arial"/>
        </w:rPr>
        <w:t xml:space="preserve"> </w:t>
      </w:r>
      <w:r w:rsidR="00553DBB" w:rsidRPr="00B05191">
        <w:rPr>
          <w:rFonts w:cs="Arial"/>
        </w:rPr>
        <w:t>fyzické</w:t>
      </w:r>
      <w:r w:rsidR="00EA58E4" w:rsidRPr="00B05191">
        <w:rPr>
          <w:rFonts w:cs="Arial"/>
        </w:rPr>
        <w:t xml:space="preserve"> infrastruktury</w:t>
      </w:r>
    </w:p>
    <w:p w14:paraId="375839F7" w14:textId="620CDB00" w:rsidR="009E38C7" w:rsidRPr="00B300B4" w:rsidRDefault="009E38C7" w:rsidP="00B05191">
      <w:pPr>
        <w:pStyle w:val="Vvojcen-zkladntext"/>
        <w:ind w:firstLine="0"/>
        <w:rPr>
          <w:rFonts w:cs="Arial"/>
        </w:rPr>
      </w:pPr>
    </w:p>
    <w:sectPr w:rsidR="009E38C7" w:rsidRPr="00B300B4" w:rsidSect="000C234A">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2E06F" w14:textId="77777777" w:rsidR="00E30BFE" w:rsidRDefault="00E30BFE" w:rsidP="002B71CD">
      <w:r>
        <w:separator/>
      </w:r>
    </w:p>
  </w:endnote>
  <w:endnote w:type="continuationSeparator" w:id="0">
    <w:p w14:paraId="737BA276" w14:textId="77777777" w:rsidR="00E30BFE" w:rsidRDefault="00E30BFE" w:rsidP="002B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EUAlbertina">
    <w:altName w:val="EUAlbertina"/>
    <w:panose1 w:val="00000000000000000000"/>
    <w:charset w:val="EE"/>
    <w:family w:val="swiss"/>
    <w:notTrueType/>
    <w:pitch w:val="default"/>
    <w:sig w:usb0="00000001" w:usb1="00000000" w:usb2="00000000" w:usb3="00000000" w:csb0="00000003" w:csb1="00000000"/>
  </w:font>
  <w:font w:name="EUAlbertina-Regular-Identity-H">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991688"/>
      <w:docPartObj>
        <w:docPartGallery w:val="Page Numbers (Bottom of Page)"/>
        <w:docPartUnique/>
      </w:docPartObj>
    </w:sdtPr>
    <w:sdtEndPr>
      <w:rPr>
        <w:rFonts w:ascii="Arial" w:hAnsi="Arial" w:cs="Arial"/>
      </w:rPr>
    </w:sdtEndPr>
    <w:sdtContent>
      <w:p w14:paraId="6622DC23" w14:textId="04E8B831" w:rsidR="00E30BFE" w:rsidRPr="00F67923" w:rsidRDefault="00E30BFE">
        <w:pPr>
          <w:pStyle w:val="Zpat"/>
          <w:jc w:val="center"/>
          <w:rPr>
            <w:rFonts w:ascii="Arial" w:hAnsi="Arial" w:cs="Arial"/>
          </w:rPr>
        </w:pPr>
        <w:r w:rsidRPr="00F67923">
          <w:rPr>
            <w:rFonts w:ascii="Arial" w:hAnsi="Arial" w:cs="Arial"/>
          </w:rPr>
          <w:fldChar w:fldCharType="begin"/>
        </w:r>
        <w:r w:rsidRPr="00F67923">
          <w:rPr>
            <w:rFonts w:ascii="Arial" w:hAnsi="Arial" w:cs="Arial"/>
          </w:rPr>
          <w:instrText>PAGE   \* MERGEFORMAT</w:instrText>
        </w:r>
        <w:r w:rsidRPr="00F67923">
          <w:rPr>
            <w:rFonts w:ascii="Arial" w:hAnsi="Arial" w:cs="Arial"/>
          </w:rPr>
          <w:fldChar w:fldCharType="separate"/>
        </w:r>
        <w:r w:rsidR="009A23AF">
          <w:rPr>
            <w:rFonts w:ascii="Arial" w:hAnsi="Arial" w:cs="Arial"/>
            <w:noProof/>
          </w:rPr>
          <w:t>2</w:t>
        </w:r>
        <w:r w:rsidRPr="00F67923">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sidR="009A23AF">
          <w:rPr>
            <w:rFonts w:ascii="Arial" w:hAnsi="Arial" w:cs="Arial"/>
            <w:noProof/>
          </w:rPr>
          <w:t>15</w:t>
        </w:r>
        <w:r>
          <w:rPr>
            <w:rFonts w:ascii="Arial" w:hAnsi="Arial" w:cs="Arial"/>
          </w:rPr>
          <w:fldChar w:fldCharType="end"/>
        </w:r>
      </w:p>
    </w:sdtContent>
  </w:sdt>
  <w:p w14:paraId="62641E41" w14:textId="77777777" w:rsidR="00E30BFE" w:rsidRDefault="00E30B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C5D4A" w14:textId="77777777" w:rsidR="00E30BFE" w:rsidRDefault="00E30BFE" w:rsidP="002B71CD">
      <w:r>
        <w:separator/>
      </w:r>
    </w:p>
  </w:footnote>
  <w:footnote w:type="continuationSeparator" w:id="0">
    <w:p w14:paraId="5AECA4D0" w14:textId="77777777" w:rsidR="00E30BFE" w:rsidRDefault="00E30BFE" w:rsidP="002B71CD">
      <w:r>
        <w:continuationSeparator/>
      </w:r>
    </w:p>
  </w:footnote>
  <w:footnote w:id="1">
    <w:p w14:paraId="39F9B7EC" w14:textId="77777777" w:rsidR="00E30BFE" w:rsidRPr="00F67923" w:rsidRDefault="00E30BFE" w:rsidP="007C0C8C">
      <w:pPr>
        <w:pStyle w:val="Textpoznpodarou"/>
        <w:spacing w:after="0" w:line="240" w:lineRule="auto"/>
        <w:jc w:val="both"/>
        <w:rPr>
          <w:rFonts w:ascii="Arial" w:hAnsi="Arial" w:cs="Arial"/>
          <w:sz w:val="18"/>
          <w:szCs w:val="18"/>
        </w:rPr>
      </w:pPr>
      <w:r w:rsidRPr="00F67923">
        <w:rPr>
          <w:rStyle w:val="Znakapoznpodarou"/>
          <w:rFonts w:ascii="Arial" w:hAnsi="Arial" w:cs="Arial"/>
          <w:sz w:val="18"/>
          <w:szCs w:val="18"/>
        </w:rPr>
        <w:footnoteRef/>
      </w:r>
      <w:r w:rsidRPr="00F67923">
        <w:rPr>
          <w:rFonts w:ascii="Arial" w:hAnsi="Arial" w:cs="Arial"/>
          <w:sz w:val="18"/>
          <w:szCs w:val="18"/>
        </w:rPr>
        <w:t xml:space="preserve"> Provozovatelé veřejné komunikační sítě, provozovatelé fyzické infrastruktury určené pro poskytování služeb přepravy, přenosu nebo distribuce plynu nebo elektřiny včetně veřejného osvětlení, rozvodu tepelné energie, rozvodu vody včetně odstraňování nebo čištění odpadních a kanalizačních vod a odvodňovacích systémů, provozovatelé fyzické infrastruktury určené k poskytování dopravních služeb včet</w:t>
      </w:r>
      <w:r>
        <w:rPr>
          <w:rFonts w:ascii="Arial" w:hAnsi="Arial" w:cs="Arial"/>
          <w:sz w:val="18"/>
          <w:szCs w:val="18"/>
        </w:rPr>
        <w:t>ně železnic, silnic, přístavů a </w:t>
      </w:r>
      <w:r w:rsidRPr="00F67923">
        <w:rPr>
          <w:rFonts w:ascii="Arial" w:hAnsi="Arial" w:cs="Arial"/>
          <w:sz w:val="18"/>
          <w:szCs w:val="18"/>
        </w:rPr>
        <w:t>letišť, investoři pro účely poskytování údajů o stavebních pracích a pro účely koordinace stavebních prací financovaných z veřejných prostředků, vlastníci výše uvedené fyzické infrastruktury nebo osoby oprávněné z jiných práv k této fyzické infrastruktuře, není-li provozovatel této fyzické infrastruktury jejím vlastníkem a nemá k ní taková práva, která by mu umožňovala plnit povinnosti povinné osoby podle tohoto zákona; povinnou osobou nejsou Ministerstvo obrany, Ministerstvo vnitra a bezpečnostní sbory</w:t>
      </w:r>
      <w:r>
        <w:rPr>
          <w:rFonts w:ascii="Arial" w:hAnsi="Arial" w:cs="Arial"/>
          <w:sz w:val="18"/>
          <w:szCs w:val="18"/>
        </w:rPr>
        <w:t>.</w:t>
      </w:r>
    </w:p>
  </w:footnote>
  <w:footnote w:id="2">
    <w:p w14:paraId="3C11B832" w14:textId="77777777" w:rsidR="00E30BFE" w:rsidRPr="000C234A" w:rsidRDefault="00E30BFE" w:rsidP="000C234A">
      <w:pPr>
        <w:pStyle w:val="Textpoznpodarou"/>
        <w:spacing w:after="0"/>
        <w:jc w:val="both"/>
        <w:rPr>
          <w:rFonts w:ascii="Arial" w:hAnsi="Arial" w:cs="Arial"/>
          <w:sz w:val="18"/>
          <w:szCs w:val="18"/>
        </w:rPr>
      </w:pPr>
      <w:r w:rsidRPr="000C234A">
        <w:rPr>
          <w:rStyle w:val="Znakapoznpodarou"/>
          <w:rFonts w:ascii="Arial" w:hAnsi="Arial" w:cs="Arial"/>
          <w:sz w:val="18"/>
          <w:szCs w:val="18"/>
        </w:rPr>
        <w:footnoteRef/>
      </w:r>
      <w:r w:rsidRPr="000C234A">
        <w:rPr>
          <w:rFonts w:ascii="Arial" w:hAnsi="Arial" w:cs="Arial"/>
          <w:sz w:val="18"/>
          <w:szCs w:val="18"/>
        </w:rPr>
        <w:t xml:space="preserve"> Dle § 4 odst. 1 Zákona povinná osoba umožní přístup k fyzické infrastruktuře pro účely zavedení vysokorychlostní sítě elektronických komunikací oprávněné osobě na základě její žádosti a na její náklady, a to za spravedlivých, přiměřených a nediskriminačních podmínek včetně ceny.</w:t>
      </w:r>
    </w:p>
  </w:footnote>
  <w:footnote w:id="3">
    <w:p w14:paraId="0ED41961" w14:textId="6BF73598" w:rsidR="00E30BFE" w:rsidRPr="000C234A" w:rsidRDefault="00E30BFE" w:rsidP="000C234A">
      <w:pPr>
        <w:pStyle w:val="Textpoznpodarou"/>
        <w:spacing w:after="0"/>
        <w:jc w:val="both"/>
        <w:rPr>
          <w:rFonts w:ascii="Arial" w:hAnsi="Arial" w:cs="Arial"/>
          <w:sz w:val="18"/>
          <w:szCs w:val="18"/>
        </w:rPr>
      </w:pPr>
      <w:r w:rsidRPr="000C234A">
        <w:rPr>
          <w:rStyle w:val="Znakapoznpodarou"/>
          <w:rFonts w:ascii="Arial" w:hAnsi="Arial" w:cs="Arial"/>
          <w:sz w:val="18"/>
          <w:szCs w:val="18"/>
        </w:rPr>
        <w:footnoteRef/>
      </w:r>
      <w:r w:rsidRPr="000C234A">
        <w:rPr>
          <w:rFonts w:ascii="Arial" w:hAnsi="Arial" w:cs="Arial"/>
          <w:sz w:val="18"/>
          <w:szCs w:val="18"/>
        </w:rPr>
        <w:t xml:space="preserve"> Podle § 2 písm. e) Zákona je vysokorychlostní sítí elektronických komunikací síť elektronických komunikací, která umožňuje poskytovat služby připojení o rychlosti nejméně 30 Mb</w:t>
      </w:r>
      <w:r>
        <w:rPr>
          <w:rFonts w:ascii="Arial" w:hAnsi="Arial" w:cs="Arial"/>
          <w:sz w:val="18"/>
          <w:szCs w:val="18"/>
        </w:rPr>
        <w:t>it</w:t>
      </w:r>
      <w:r w:rsidRPr="000C234A">
        <w:rPr>
          <w:rFonts w:ascii="Arial" w:hAnsi="Arial" w:cs="Arial"/>
          <w:sz w:val="18"/>
          <w:szCs w:val="18"/>
        </w:rPr>
        <w:t>/s</w:t>
      </w:r>
      <w:r w:rsidR="009A23AF">
        <w:rPr>
          <w:rFonts w:ascii="Arial" w:hAnsi="Arial" w:cs="Arial"/>
          <w:sz w:val="18"/>
          <w:szCs w:val="18"/>
        </w:rPr>
        <w:t>.</w:t>
      </w:r>
    </w:p>
  </w:footnote>
  <w:footnote w:id="4">
    <w:p w14:paraId="79DE4F17" w14:textId="2677CA51" w:rsidR="00E30BFE" w:rsidRPr="00F67923" w:rsidRDefault="00E30BFE" w:rsidP="00F67923">
      <w:pPr>
        <w:pStyle w:val="Textpoznpodarou"/>
        <w:spacing w:after="0" w:line="240" w:lineRule="auto"/>
        <w:jc w:val="both"/>
        <w:rPr>
          <w:rFonts w:ascii="Arial" w:hAnsi="Arial" w:cs="Arial"/>
          <w:sz w:val="18"/>
          <w:szCs w:val="18"/>
        </w:rPr>
      </w:pPr>
      <w:r w:rsidRPr="00F67923">
        <w:rPr>
          <w:rStyle w:val="Znakapoznpodarou"/>
          <w:rFonts w:ascii="Arial" w:hAnsi="Arial" w:cs="Arial"/>
          <w:sz w:val="18"/>
          <w:szCs w:val="18"/>
        </w:rPr>
        <w:footnoteRef/>
      </w:r>
      <w:r w:rsidRPr="00F67923">
        <w:rPr>
          <w:rFonts w:ascii="Arial" w:hAnsi="Arial" w:cs="Arial"/>
          <w:sz w:val="18"/>
          <w:szCs w:val="18"/>
        </w:rPr>
        <w:t xml:space="preserve"> </w:t>
      </w:r>
      <w:r>
        <w:rPr>
          <w:rFonts w:ascii="Arial" w:hAnsi="Arial" w:cs="Arial"/>
          <w:sz w:val="18"/>
          <w:szCs w:val="18"/>
        </w:rPr>
        <w:t>N</w:t>
      </w:r>
      <w:r w:rsidRPr="00F67923">
        <w:rPr>
          <w:rFonts w:ascii="Arial" w:hAnsi="Arial" w:cs="Arial"/>
          <w:sz w:val="18"/>
          <w:szCs w:val="18"/>
        </w:rPr>
        <w:t>a velkoobchodních</w:t>
      </w:r>
      <w:r>
        <w:rPr>
          <w:rFonts w:ascii="Arial" w:hAnsi="Arial" w:cs="Arial"/>
          <w:sz w:val="18"/>
          <w:szCs w:val="18"/>
        </w:rPr>
        <w:t xml:space="preserve"> terminačních trzích č. 1 a 2 a</w:t>
      </w:r>
      <w:r w:rsidRPr="00F67923">
        <w:rPr>
          <w:rFonts w:ascii="Arial" w:hAnsi="Arial" w:cs="Arial"/>
          <w:sz w:val="18"/>
          <w:szCs w:val="18"/>
        </w:rPr>
        <w:t xml:space="preserve"> na trhu</w:t>
      </w:r>
      <w:r w:rsidR="009A23AF">
        <w:rPr>
          <w:rFonts w:ascii="Arial" w:hAnsi="Arial" w:cs="Arial"/>
          <w:sz w:val="18"/>
          <w:szCs w:val="18"/>
        </w:rPr>
        <w:t xml:space="preserve"> č.</w:t>
      </w:r>
      <w:r w:rsidRPr="00F67923">
        <w:rPr>
          <w:rFonts w:ascii="Arial" w:hAnsi="Arial" w:cs="Arial"/>
          <w:sz w:val="18"/>
          <w:szCs w:val="18"/>
        </w:rPr>
        <w:t xml:space="preserve"> 3a (dříve 4) při stanovení cen LLU.</w:t>
      </w:r>
    </w:p>
  </w:footnote>
  <w:footnote w:id="5">
    <w:p w14:paraId="608D0FAD" w14:textId="77777777" w:rsidR="00E30BFE" w:rsidRPr="004113F0" w:rsidRDefault="00E30BFE" w:rsidP="004113F0">
      <w:pPr>
        <w:pStyle w:val="Textpoznpodarou"/>
        <w:spacing w:after="0" w:line="240" w:lineRule="auto"/>
        <w:jc w:val="both"/>
        <w:rPr>
          <w:rFonts w:ascii="Arial" w:hAnsi="Arial" w:cs="Arial"/>
          <w:sz w:val="18"/>
          <w:szCs w:val="18"/>
        </w:rPr>
      </w:pPr>
      <w:r w:rsidRPr="004113F0">
        <w:rPr>
          <w:rStyle w:val="Znakapoznpodarou"/>
          <w:rFonts w:ascii="Arial" w:hAnsi="Arial" w:cs="Arial"/>
          <w:sz w:val="18"/>
          <w:szCs w:val="18"/>
        </w:rPr>
        <w:footnoteRef/>
      </w:r>
      <w:r w:rsidRPr="004113F0">
        <w:rPr>
          <w:rFonts w:ascii="Arial" w:hAnsi="Arial" w:cs="Arial"/>
          <w:sz w:val="18"/>
          <w:szCs w:val="18"/>
        </w:rPr>
        <w:t xml:space="preserve"> </w:t>
      </w:r>
      <w:r>
        <w:rPr>
          <w:rFonts w:ascii="Arial" w:hAnsi="Arial" w:cs="Arial"/>
          <w:sz w:val="18"/>
          <w:szCs w:val="18"/>
        </w:rPr>
        <w:t>P</w:t>
      </w:r>
      <w:r w:rsidRPr="004113F0">
        <w:rPr>
          <w:rFonts w:ascii="Arial" w:eastAsiaTheme="minorHAnsi" w:hAnsi="Arial" w:cs="Arial"/>
          <w:color w:val="000000"/>
          <w:sz w:val="18"/>
          <w:szCs w:val="18"/>
        </w:rPr>
        <w:t xml:space="preserve">odle opatření obecné povahy ČTÚ č. </w:t>
      </w:r>
      <w:hyperlink r:id="rId1" w:history="1">
        <w:r w:rsidRPr="004113F0">
          <w:rPr>
            <w:rStyle w:val="Hypertextovodkaz"/>
            <w:rFonts w:ascii="Arial" w:eastAsiaTheme="minorHAnsi" w:hAnsi="Arial" w:cs="Arial"/>
            <w:sz w:val="18"/>
            <w:szCs w:val="18"/>
          </w:rPr>
          <w:t>OOP/4/12.2015-7</w:t>
        </w:r>
      </w:hyperlink>
      <w:r w:rsidRPr="004113F0">
        <w:rPr>
          <w:rFonts w:ascii="Arial" w:eastAsiaTheme="minorHAnsi" w:hAnsi="Arial" w:cs="Arial"/>
          <w:color w:val="000000"/>
          <w:sz w:val="18"/>
          <w:szCs w:val="18"/>
        </w:rPr>
        <w:t xml:space="preserve">, kterým se mění opatření obecné povahy ČTÚ </w:t>
      </w:r>
      <w:r>
        <w:rPr>
          <w:rFonts w:ascii="Arial" w:eastAsiaTheme="minorHAnsi" w:hAnsi="Arial" w:cs="Arial"/>
          <w:color w:val="000000"/>
          <w:sz w:val="18"/>
          <w:szCs w:val="18"/>
        </w:rPr>
        <w:t>č. </w:t>
      </w:r>
      <w:hyperlink r:id="rId2" w:history="1">
        <w:r w:rsidRPr="004113F0">
          <w:rPr>
            <w:rStyle w:val="Hypertextovodkaz"/>
            <w:rFonts w:ascii="Arial" w:eastAsiaTheme="minorHAnsi" w:hAnsi="Arial" w:cs="Arial"/>
            <w:sz w:val="18"/>
            <w:szCs w:val="18"/>
          </w:rPr>
          <w:t>OOP/4/09.2014-6</w:t>
        </w:r>
      </w:hyperlink>
      <w:r>
        <w:rPr>
          <w:rFonts w:ascii="Arial" w:eastAsiaTheme="minorHAnsi" w:hAnsi="Arial" w:cs="Arial"/>
          <w:color w:val="000000"/>
          <w:sz w:val="18"/>
          <w:szCs w:val="18"/>
        </w:rPr>
        <w:t>, kterým se stanoví metodika účelového členění nákladů a výnosů a jejich přiřazování a určuje se struktura vykazovaných informací</w:t>
      </w:r>
      <w:r w:rsidRPr="004113F0">
        <w:rPr>
          <w:rFonts w:ascii="Arial" w:eastAsiaTheme="minorHAnsi" w:hAnsi="Arial" w:cs="Arial"/>
          <w:color w:val="000000"/>
          <w:sz w:val="18"/>
          <w:szCs w:val="18"/>
        </w:rPr>
        <w:t>.</w:t>
      </w:r>
    </w:p>
  </w:footnote>
  <w:footnote w:id="6">
    <w:p w14:paraId="12E329E7" w14:textId="77777777" w:rsidR="00E30BFE" w:rsidRPr="00D0441A" w:rsidRDefault="00E30BFE" w:rsidP="00090DD9">
      <w:pPr>
        <w:pStyle w:val="Textpoznpodarou"/>
        <w:spacing w:after="0" w:line="240" w:lineRule="auto"/>
        <w:jc w:val="both"/>
        <w:rPr>
          <w:rFonts w:ascii="Arial" w:hAnsi="Arial" w:cs="Arial"/>
          <w:sz w:val="18"/>
          <w:szCs w:val="18"/>
        </w:rPr>
      </w:pPr>
      <w:r w:rsidRPr="00D0441A">
        <w:rPr>
          <w:rStyle w:val="Znakapoznpodarou"/>
          <w:rFonts w:ascii="Arial" w:hAnsi="Arial" w:cs="Arial"/>
          <w:sz w:val="18"/>
          <w:szCs w:val="18"/>
        </w:rPr>
        <w:footnoteRef/>
      </w:r>
      <w:r w:rsidRPr="00D0441A">
        <w:rPr>
          <w:rFonts w:ascii="Arial" w:hAnsi="Arial" w:cs="Arial"/>
          <w:sz w:val="18"/>
          <w:szCs w:val="18"/>
        </w:rPr>
        <w:t xml:space="preserve"> Pokud by přirážka provozních nákladů byla kalkulována poměrem výše provozních nákladů k historické hodnotě prvků fyzické infrastruktury zachycené v účetnictví, byla by tato přirážka větší a následně by při aplikaci na aktuální hodnotu prvků fyzické infrastruktury nadhodnocovala výši provozních nákladů.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F9278" w14:textId="7791F28B" w:rsidR="00E30BFE" w:rsidRDefault="00E30BFE" w:rsidP="000C234A">
    <w:pPr>
      <w:pStyle w:val="Zhlav"/>
      <w:jc w:val="center"/>
    </w:pPr>
    <w:r>
      <w:rPr>
        <w:noProof/>
      </w:rPr>
      <w:drawing>
        <wp:inline distT="0" distB="0" distL="0" distR="0" wp14:anchorId="3512C84A" wp14:editId="1125B1C3">
          <wp:extent cx="1423319" cy="790575"/>
          <wp:effectExtent l="0" t="0" r="571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tu_cz-ba.jpg"/>
                  <pic:cNvPicPr/>
                </pic:nvPicPr>
                <pic:blipFill>
                  <a:blip r:embed="rId1">
                    <a:extLst>
                      <a:ext uri="{28A0092B-C50C-407E-A947-70E740481C1C}">
                        <a14:useLocalDpi xmlns:a14="http://schemas.microsoft.com/office/drawing/2010/main" val="0"/>
                      </a:ext>
                    </a:extLst>
                  </a:blip>
                  <a:stretch>
                    <a:fillRect/>
                  </a:stretch>
                </pic:blipFill>
                <pic:spPr>
                  <a:xfrm>
                    <a:off x="0" y="0"/>
                    <a:ext cx="1446562" cy="8034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D048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6CAD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522B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B864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442E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0E63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9283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EC04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2E5B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0E66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E32E5"/>
    <w:multiLevelType w:val="multilevel"/>
    <w:tmpl w:val="25A243EC"/>
    <w:lvl w:ilvl="0">
      <w:start w:val="1"/>
      <w:numFmt w:val="decimal"/>
      <w:pStyle w:val="Nadpis1"/>
      <w:lvlText w:val="%1"/>
      <w:lvlJc w:val="left"/>
      <w:pPr>
        <w:tabs>
          <w:tab w:val="num" w:pos="432"/>
        </w:tabs>
        <w:ind w:left="432" w:hanging="432"/>
      </w:pPr>
      <w:rPr>
        <w:rFonts w:hint="default"/>
      </w:rPr>
    </w:lvl>
    <w:lvl w:ilvl="1">
      <w:start w:val="1"/>
      <w:numFmt w:val="decimal"/>
      <w:pStyle w:val="Vvojcen-nadpis2"/>
      <w:lvlText w:val="%1.%2"/>
      <w:lvlJc w:val="left"/>
      <w:pPr>
        <w:tabs>
          <w:tab w:val="num" w:pos="1427"/>
        </w:tabs>
        <w:ind w:left="1427" w:hanging="576"/>
      </w:pPr>
      <w:rPr>
        <w:rFonts w:hint="default"/>
      </w:rPr>
    </w:lvl>
    <w:lvl w:ilvl="2">
      <w:start w:val="1"/>
      <w:numFmt w:val="decimal"/>
      <w:pStyle w:val="Vvojcen-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69710F6"/>
    <w:multiLevelType w:val="hybridMultilevel"/>
    <w:tmpl w:val="48404948"/>
    <w:lvl w:ilvl="0" w:tplc="4A005D36">
      <w:start w:val="1"/>
      <w:numFmt w:val="bullet"/>
      <w:pStyle w:val="Vvojcen-odrkydel"/>
      <w:lvlText w:val="-"/>
      <w:lvlJc w:val="left"/>
      <w:pPr>
        <w:tabs>
          <w:tab w:val="num" w:pos="3627"/>
        </w:tabs>
        <w:ind w:left="3627" w:hanging="360"/>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7F4345"/>
    <w:multiLevelType w:val="hybridMultilevel"/>
    <w:tmpl w:val="62BAE3C8"/>
    <w:lvl w:ilvl="0" w:tplc="3B686530">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28C2501E"/>
    <w:multiLevelType w:val="hybridMultilevel"/>
    <w:tmpl w:val="BE50ABC2"/>
    <w:lvl w:ilvl="0" w:tplc="04050017">
      <w:start w:val="1"/>
      <w:numFmt w:val="lowerLetter"/>
      <w:lvlText w:val="%1)"/>
      <w:lvlJc w:val="left"/>
      <w:pPr>
        <w:ind w:left="776" w:hanging="360"/>
      </w:pPr>
    </w:lvl>
    <w:lvl w:ilvl="1" w:tplc="04050019" w:tentative="1">
      <w:start w:val="1"/>
      <w:numFmt w:val="lowerLetter"/>
      <w:lvlText w:val="%2."/>
      <w:lvlJc w:val="left"/>
      <w:pPr>
        <w:ind w:left="1496" w:hanging="360"/>
      </w:pPr>
    </w:lvl>
    <w:lvl w:ilvl="2" w:tplc="0405001B" w:tentative="1">
      <w:start w:val="1"/>
      <w:numFmt w:val="lowerRoman"/>
      <w:lvlText w:val="%3."/>
      <w:lvlJc w:val="right"/>
      <w:pPr>
        <w:ind w:left="2216" w:hanging="180"/>
      </w:pPr>
    </w:lvl>
    <w:lvl w:ilvl="3" w:tplc="0405000F" w:tentative="1">
      <w:start w:val="1"/>
      <w:numFmt w:val="decimal"/>
      <w:lvlText w:val="%4."/>
      <w:lvlJc w:val="left"/>
      <w:pPr>
        <w:ind w:left="2936" w:hanging="360"/>
      </w:pPr>
    </w:lvl>
    <w:lvl w:ilvl="4" w:tplc="04050019" w:tentative="1">
      <w:start w:val="1"/>
      <w:numFmt w:val="lowerLetter"/>
      <w:lvlText w:val="%5."/>
      <w:lvlJc w:val="left"/>
      <w:pPr>
        <w:ind w:left="3656" w:hanging="360"/>
      </w:pPr>
    </w:lvl>
    <w:lvl w:ilvl="5" w:tplc="0405001B" w:tentative="1">
      <w:start w:val="1"/>
      <w:numFmt w:val="lowerRoman"/>
      <w:lvlText w:val="%6."/>
      <w:lvlJc w:val="right"/>
      <w:pPr>
        <w:ind w:left="4376" w:hanging="180"/>
      </w:pPr>
    </w:lvl>
    <w:lvl w:ilvl="6" w:tplc="0405000F" w:tentative="1">
      <w:start w:val="1"/>
      <w:numFmt w:val="decimal"/>
      <w:lvlText w:val="%7."/>
      <w:lvlJc w:val="left"/>
      <w:pPr>
        <w:ind w:left="5096" w:hanging="360"/>
      </w:pPr>
    </w:lvl>
    <w:lvl w:ilvl="7" w:tplc="04050019" w:tentative="1">
      <w:start w:val="1"/>
      <w:numFmt w:val="lowerLetter"/>
      <w:lvlText w:val="%8."/>
      <w:lvlJc w:val="left"/>
      <w:pPr>
        <w:ind w:left="5816" w:hanging="360"/>
      </w:pPr>
    </w:lvl>
    <w:lvl w:ilvl="8" w:tplc="0405001B" w:tentative="1">
      <w:start w:val="1"/>
      <w:numFmt w:val="lowerRoman"/>
      <w:lvlText w:val="%9."/>
      <w:lvlJc w:val="right"/>
      <w:pPr>
        <w:ind w:left="6536" w:hanging="180"/>
      </w:pPr>
    </w:lvl>
  </w:abstractNum>
  <w:abstractNum w:abstractNumId="14" w15:restartNumberingAfterBreak="0">
    <w:nsid w:val="30403DA4"/>
    <w:multiLevelType w:val="hybridMultilevel"/>
    <w:tmpl w:val="64BAB1A6"/>
    <w:lvl w:ilvl="0" w:tplc="04050011">
      <w:start w:val="1"/>
      <w:numFmt w:val="decimal"/>
      <w:lvlText w:val="%1)"/>
      <w:lvlJc w:val="left"/>
      <w:pPr>
        <w:ind w:left="776" w:hanging="360"/>
      </w:pPr>
    </w:lvl>
    <w:lvl w:ilvl="1" w:tplc="04050019" w:tentative="1">
      <w:start w:val="1"/>
      <w:numFmt w:val="lowerLetter"/>
      <w:lvlText w:val="%2."/>
      <w:lvlJc w:val="left"/>
      <w:pPr>
        <w:ind w:left="1496" w:hanging="360"/>
      </w:pPr>
    </w:lvl>
    <w:lvl w:ilvl="2" w:tplc="0405001B" w:tentative="1">
      <w:start w:val="1"/>
      <w:numFmt w:val="lowerRoman"/>
      <w:lvlText w:val="%3."/>
      <w:lvlJc w:val="right"/>
      <w:pPr>
        <w:ind w:left="2216" w:hanging="180"/>
      </w:pPr>
    </w:lvl>
    <w:lvl w:ilvl="3" w:tplc="0405000F" w:tentative="1">
      <w:start w:val="1"/>
      <w:numFmt w:val="decimal"/>
      <w:lvlText w:val="%4."/>
      <w:lvlJc w:val="left"/>
      <w:pPr>
        <w:ind w:left="2936" w:hanging="360"/>
      </w:pPr>
    </w:lvl>
    <w:lvl w:ilvl="4" w:tplc="04050019" w:tentative="1">
      <w:start w:val="1"/>
      <w:numFmt w:val="lowerLetter"/>
      <w:lvlText w:val="%5."/>
      <w:lvlJc w:val="left"/>
      <w:pPr>
        <w:ind w:left="3656" w:hanging="360"/>
      </w:pPr>
    </w:lvl>
    <w:lvl w:ilvl="5" w:tplc="0405001B" w:tentative="1">
      <w:start w:val="1"/>
      <w:numFmt w:val="lowerRoman"/>
      <w:lvlText w:val="%6."/>
      <w:lvlJc w:val="right"/>
      <w:pPr>
        <w:ind w:left="4376" w:hanging="180"/>
      </w:pPr>
    </w:lvl>
    <w:lvl w:ilvl="6" w:tplc="0405000F" w:tentative="1">
      <w:start w:val="1"/>
      <w:numFmt w:val="decimal"/>
      <w:lvlText w:val="%7."/>
      <w:lvlJc w:val="left"/>
      <w:pPr>
        <w:ind w:left="5096" w:hanging="360"/>
      </w:pPr>
    </w:lvl>
    <w:lvl w:ilvl="7" w:tplc="04050019" w:tentative="1">
      <w:start w:val="1"/>
      <w:numFmt w:val="lowerLetter"/>
      <w:lvlText w:val="%8."/>
      <w:lvlJc w:val="left"/>
      <w:pPr>
        <w:ind w:left="5816" w:hanging="360"/>
      </w:pPr>
    </w:lvl>
    <w:lvl w:ilvl="8" w:tplc="0405001B" w:tentative="1">
      <w:start w:val="1"/>
      <w:numFmt w:val="lowerRoman"/>
      <w:lvlText w:val="%9."/>
      <w:lvlJc w:val="right"/>
      <w:pPr>
        <w:ind w:left="6536" w:hanging="180"/>
      </w:pPr>
    </w:lvl>
  </w:abstractNum>
  <w:abstractNum w:abstractNumId="15" w15:restartNumberingAfterBreak="0">
    <w:nsid w:val="366D2A8F"/>
    <w:multiLevelType w:val="hybridMultilevel"/>
    <w:tmpl w:val="84BCB340"/>
    <w:lvl w:ilvl="0" w:tplc="5DC23142">
      <w:start w:val="1"/>
      <w:numFmt w:val="bullet"/>
      <w:pStyle w:val="Vvojcen-odrky"/>
      <w:lvlText w:val="-"/>
      <w:lvlJc w:val="left"/>
      <w:pPr>
        <w:tabs>
          <w:tab w:val="num" w:pos="720"/>
        </w:tabs>
        <w:ind w:left="720" w:hanging="360"/>
      </w:pPr>
      <w:rPr>
        <w:rFonts w:ascii="Arial" w:eastAsia="Times New Roman" w:hAnsi="Arial" w:cs="Aria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866BFF"/>
    <w:multiLevelType w:val="hybridMultilevel"/>
    <w:tmpl w:val="E95051A4"/>
    <w:lvl w:ilvl="0" w:tplc="0405000F">
      <w:start w:val="1"/>
      <w:numFmt w:val="decimal"/>
      <w:lvlText w:val="%1."/>
      <w:lvlJc w:val="left"/>
      <w:pPr>
        <w:ind w:left="776" w:hanging="360"/>
      </w:pPr>
    </w:lvl>
    <w:lvl w:ilvl="1" w:tplc="04050019" w:tentative="1">
      <w:start w:val="1"/>
      <w:numFmt w:val="lowerLetter"/>
      <w:lvlText w:val="%2."/>
      <w:lvlJc w:val="left"/>
      <w:pPr>
        <w:ind w:left="1496" w:hanging="360"/>
      </w:pPr>
    </w:lvl>
    <w:lvl w:ilvl="2" w:tplc="0405001B" w:tentative="1">
      <w:start w:val="1"/>
      <w:numFmt w:val="lowerRoman"/>
      <w:lvlText w:val="%3."/>
      <w:lvlJc w:val="right"/>
      <w:pPr>
        <w:ind w:left="2216" w:hanging="180"/>
      </w:pPr>
    </w:lvl>
    <w:lvl w:ilvl="3" w:tplc="0405000F" w:tentative="1">
      <w:start w:val="1"/>
      <w:numFmt w:val="decimal"/>
      <w:lvlText w:val="%4."/>
      <w:lvlJc w:val="left"/>
      <w:pPr>
        <w:ind w:left="2936" w:hanging="360"/>
      </w:pPr>
    </w:lvl>
    <w:lvl w:ilvl="4" w:tplc="04050019" w:tentative="1">
      <w:start w:val="1"/>
      <w:numFmt w:val="lowerLetter"/>
      <w:lvlText w:val="%5."/>
      <w:lvlJc w:val="left"/>
      <w:pPr>
        <w:ind w:left="3656" w:hanging="360"/>
      </w:pPr>
    </w:lvl>
    <w:lvl w:ilvl="5" w:tplc="0405001B" w:tentative="1">
      <w:start w:val="1"/>
      <w:numFmt w:val="lowerRoman"/>
      <w:lvlText w:val="%6."/>
      <w:lvlJc w:val="right"/>
      <w:pPr>
        <w:ind w:left="4376" w:hanging="180"/>
      </w:pPr>
    </w:lvl>
    <w:lvl w:ilvl="6" w:tplc="0405000F" w:tentative="1">
      <w:start w:val="1"/>
      <w:numFmt w:val="decimal"/>
      <w:lvlText w:val="%7."/>
      <w:lvlJc w:val="left"/>
      <w:pPr>
        <w:ind w:left="5096" w:hanging="360"/>
      </w:pPr>
    </w:lvl>
    <w:lvl w:ilvl="7" w:tplc="04050019" w:tentative="1">
      <w:start w:val="1"/>
      <w:numFmt w:val="lowerLetter"/>
      <w:lvlText w:val="%8."/>
      <w:lvlJc w:val="left"/>
      <w:pPr>
        <w:ind w:left="5816" w:hanging="360"/>
      </w:pPr>
    </w:lvl>
    <w:lvl w:ilvl="8" w:tplc="0405001B" w:tentative="1">
      <w:start w:val="1"/>
      <w:numFmt w:val="lowerRoman"/>
      <w:lvlText w:val="%9."/>
      <w:lvlJc w:val="right"/>
      <w:pPr>
        <w:ind w:left="6536" w:hanging="180"/>
      </w:pPr>
    </w:lvl>
  </w:abstractNum>
  <w:abstractNum w:abstractNumId="17" w15:restartNumberingAfterBreak="0">
    <w:nsid w:val="636C6E58"/>
    <w:multiLevelType w:val="hybridMultilevel"/>
    <w:tmpl w:val="0DF4B22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3067FD"/>
    <w:multiLevelType w:val="hybridMultilevel"/>
    <w:tmpl w:val="64BAB1A6"/>
    <w:lvl w:ilvl="0" w:tplc="04050011">
      <w:start w:val="1"/>
      <w:numFmt w:val="decimal"/>
      <w:lvlText w:val="%1)"/>
      <w:lvlJc w:val="left"/>
      <w:pPr>
        <w:ind w:left="776" w:hanging="360"/>
      </w:pPr>
    </w:lvl>
    <w:lvl w:ilvl="1" w:tplc="04050019" w:tentative="1">
      <w:start w:val="1"/>
      <w:numFmt w:val="lowerLetter"/>
      <w:lvlText w:val="%2."/>
      <w:lvlJc w:val="left"/>
      <w:pPr>
        <w:ind w:left="1496" w:hanging="360"/>
      </w:pPr>
    </w:lvl>
    <w:lvl w:ilvl="2" w:tplc="0405001B" w:tentative="1">
      <w:start w:val="1"/>
      <w:numFmt w:val="lowerRoman"/>
      <w:lvlText w:val="%3."/>
      <w:lvlJc w:val="right"/>
      <w:pPr>
        <w:ind w:left="2216" w:hanging="180"/>
      </w:pPr>
    </w:lvl>
    <w:lvl w:ilvl="3" w:tplc="0405000F" w:tentative="1">
      <w:start w:val="1"/>
      <w:numFmt w:val="decimal"/>
      <w:lvlText w:val="%4."/>
      <w:lvlJc w:val="left"/>
      <w:pPr>
        <w:ind w:left="2936" w:hanging="360"/>
      </w:pPr>
    </w:lvl>
    <w:lvl w:ilvl="4" w:tplc="04050019" w:tentative="1">
      <w:start w:val="1"/>
      <w:numFmt w:val="lowerLetter"/>
      <w:lvlText w:val="%5."/>
      <w:lvlJc w:val="left"/>
      <w:pPr>
        <w:ind w:left="3656" w:hanging="360"/>
      </w:pPr>
    </w:lvl>
    <w:lvl w:ilvl="5" w:tplc="0405001B" w:tentative="1">
      <w:start w:val="1"/>
      <w:numFmt w:val="lowerRoman"/>
      <w:lvlText w:val="%6."/>
      <w:lvlJc w:val="right"/>
      <w:pPr>
        <w:ind w:left="4376" w:hanging="180"/>
      </w:pPr>
    </w:lvl>
    <w:lvl w:ilvl="6" w:tplc="0405000F" w:tentative="1">
      <w:start w:val="1"/>
      <w:numFmt w:val="decimal"/>
      <w:lvlText w:val="%7."/>
      <w:lvlJc w:val="left"/>
      <w:pPr>
        <w:ind w:left="5096" w:hanging="360"/>
      </w:pPr>
    </w:lvl>
    <w:lvl w:ilvl="7" w:tplc="04050019" w:tentative="1">
      <w:start w:val="1"/>
      <w:numFmt w:val="lowerLetter"/>
      <w:lvlText w:val="%8."/>
      <w:lvlJc w:val="left"/>
      <w:pPr>
        <w:ind w:left="5816" w:hanging="360"/>
      </w:pPr>
    </w:lvl>
    <w:lvl w:ilvl="8" w:tplc="0405001B" w:tentative="1">
      <w:start w:val="1"/>
      <w:numFmt w:val="lowerRoman"/>
      <w:lvlText w:val="%9."/>
      <w:lvlJc w:val="right"/>
      <w:pPr>
        <w:ind w:left="6536" w:hanging="180"/>
      </w:pPr>
    </w:lvl>
  </w:abstractNum>
  <w:abstractNum w:abstractNumId="19" w15:restartNumberingAfterBreak="0">
    <w:nsid w:val="7C6A35F9"/>
    <w:multiLevelType w:val="hybridMultilevel"/>
    <w:tmpl w:val="5D505F2A"/>
    <w:lvl w:ilvl="0" w:tplc="9F483AFA">
      <w:start w:val="1"/>
      <w:numFmt w:val="decimal"/>
      <w:pStyle w:val="Vvojcen-slovanseznam"/>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0" w15:restartNumberingAfterBreak="0">
    <w:nsid w:val="7FA65B73"/>
    <w:multiLevelType w:val="hybridMultilevel"/>
    <w:tmpl w:val="BED0DD92"/>
    <w:lvl w:ilvl="0" w:tplc="D74299B8">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4"/>
  </w:num>
  <w:num w:numId="4">
    <w:abstractNumId w:val="13"/>
  </w:num>
  <w:num w:numId="5">
    <w:abstractNumId w:val="12"/>
  </w:num>
  <w:num w:numId="6">
    <w:abstractNumId w:val="20"/>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9"/>
  </w:num>
  <w:num w:numId="18">
    <w:abstractNumId w:val="10"/>
  </w:num>
  <w:num w:numId="19">
    <w:abstractNumId w:val="10"/>
  </w:num>
  <w:num w:numId="20">
    <w:abstractNumId w:val="10"/>
  </w:num>
  <w:num w:numId="21">
    <w:abstractNumId w:val="10"/>
  </w:num>
  <w:num w:numId="22">
    <w:abstractNumId w:val="15"/>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B9"/>
    <w:rsid w:val="00001A50"/>
    <w:rsid w:val="00010FEF"/>
    <w:rsid w:val="00011E93"/>
    <w:rsid w:val="000175D7"/>
    <w:rsid w:val="00022807"/>
    <w:rsid w:val="00024287"/>
    <w:rsid w:val="000255EE"/>
    <w:rsid w:val="00025B53"/>
    <w:rsid w:val="00051B37"/>
    <w:rsid w:val="00076582"/>
    <w:rsid w:val="0007694F"/>
    <w:rsid w:val="0008790C"/>
    <w:rsid w:val="00087AFD"/>
    <w:rsid w:val="00090DD9"/>
    <w:rsid w:val="00095AB3"/>
    <w:rsid w:val="00097988"/>
    <w:rsid w:val="000A06B5"/>
    <w:rsid w:val="000A230B"/>
    <w:rsid w:val="000A3F95"/>
    <w:rsid w:val="000A4AEB"/>
    <w:rsid w:val="000A6F1B"/>
    <w:rsid w:val="000B2F39"/>
    <w:rsid w:val="000C234A"/>
    <w:rsid w:val="000D1C88"/>
    <w:rsid w:val="000D1F89"/>
    <w:rsid w:val="000E260E"/>
    <w:rsid w:val="000E5336"/>
    <w:rsid w:val="000E7AFE"/>
    <w:rsid w:val="000F1305"/>
    <w:rsid w:val="00100067"/>
    <w:rsid w:val="0011477D"/>
    <w:rsid w:val="00120B0B"/>
    <w:rsid w:val="00124D82"/>
    <w:rsid w:val="001265F7"/>
    <w:rsid w:val="001313C9"/>
    <w:rsid w:val="001350AD"/>
    <w:rsid w:val="00136076"/>
    <w:rsid w:val="00143D26"/>
    <w:rsid w:val="00145402"/>
    <w:rsid w:val="00150F22"/>
    <w:rsid w:val="001627E9"/>
    <w:rsid w:val="001628F7"/>
    <w:rsid w:val="00170F51"/>
    <w:rsid w:val="001809C5"/>
    <w:rsid w:val="00181F0B"/>
    <w:rsid w:val="001837C9"/>
    <w:rsid w:val="00185888"/>
    <w:rsid w:val="0019620D"/>
    <w:rsid w:val="001A3C9F"/>
    <w:rsid w:val="001C3993"/>
    <w:rsid w:val="001D3975"/>
    <w:rsid w:val="001E10CB"/>
    <w:rsid w:val="001E1B16"/>
    <w:rsid w:val="00203C6E"/>
    <w:rsid w:val="00205F67"/>
    <w:rsid w:val="00210AA2"/>
    <w:rsid w:val="00211444"/>
    <w:rsid w:val="00223322"/>
    <w:rsid w:val="00223BE3"/>
    <w:rsid w:val="00244847"/>
    <w:rsid w:val="00245B4A"/>
    <w:rsid w:val="00250BAF"/>
    <w:rsid w:val="00254815"/>
    <w:rsid w:val="00254E33"/>
    <w:rsid w:val="00255004"/>
    <w:rsid w:val="00256736"/>
    <w:rsid w:val="00274CBF"/>
    <w:rsid w:val="0028374C"/>
    <w:rsid w:val="00287EEE"/>
    <w:rsid w:val="002A03B9"/>
    <w:rsid w:val="002A0BB4"/>
    <w:rsid w:val="002A311A"/>
    <w:rsid w:val="002B71CD"/>
    <w:rsid w:val="002B754B"/>
    <w:rsid w:val="002C4FF4"/>
    <w:rsid w:val="002C52CF"/>
    <w:rsid w:val="002D33EF"/>
    <w:rsid w:val="002D5CED"/>
    <w:rsid w:val="002D6F89"/>
    <w:rsid w:val="002E1A78"/>
    <w:rsid w:val="002E52E7"/>
    <w:rsid w:val="00300CE6"/>
    <w:rsid w:val="003031E0"/>
    <w:rsid w:val="00304DD6"/>
    <w:rsid w:val="00312074"/>
    <w:rsid w:val="003129C5"/>
    <w:rsid w:val="00317C8A"/>
    <w:rsid w:val="003311A5"/>
    <w:rsid w:val="0033215C"/>
    <w:rsid w:val="00336193"/>
    <w:rsid w:val="003423C1"/>
    <w:rsid w:val="003514C3"/>
    <w:rsid w:val="0038133C"/>
    <w:rsid w:val="003825CE"/>
    <w:rsid w:val="0039053C"/>
    <w:rsid w:val="003A4CE0"/>
    <w:rsid w:val="003A7BAA"/>
    <w:rsid w:val="003D710F"/>
    <w:rsid w:val="003E4AD2"/>
    <w:rsid w:val="003F6844"/>
    <w:rsid w:val="004072A9"/>
    <w:rsid w:val="004113F0"/>
    <w:rsid w:val="00413B94"/>
    <w:rsid w:val="00417A0A"/>
    <w:rsid w:val="00436AFC"/>
    <w:rsid w:val="004448DA"/>
    <w:rsid w:val="0046061A"/>
    <w:rsid w:val="00476087"/>
    <w:rsid w:val="004775B5"/>
    <w:rsid w:val="00483FCE"/>
    <w:rsid w:val="0049013A"/>
    <w:rsid w:val="00490AE1"/>
    <w:rsid w:val="00495219"/>
    <w:rsid w:val="00497734"/>
    <w:rsid w:val="004A4E72"/>
    <w:rsid w:val="004A68E0"/>
    <w:rsid w:val="004A7C11"/>
    <w:rsid w:val="004B3FEF"/>
    <w:rsid w:val="004B5256"/>
    <w:rsid w:val="004B74DA"/>
    <w:rsid w:val="004C23B2"/>
    <w:rsid w:val="004C5B01"/>
    <w:rsid w:val="004C7969"/>
    <w:rsid w:val="004D0ECD"/>
    <w:rsid w:val="004E43CD"/>
    <w:rsid w:val="004E4B33"/>
    <w:rsid w:val="004F1479"/>
    <w:rsid w:val="004F26D9"/>
    <w:rsid w:val="005211EA"/>
    <w:rsid w:val="00521BF1"/>
    <w:rsid w:val="00524AEF"/>
    <w:rsid w:val="00525F42"/>
    <w:rsid w:val="005311D2"/>
    <w:rsid w:val="005449E5"/>
    <w:rsid w:val="005477F8"/>
    <w:rsid w:val="00553DBB"/>
    <w:rsid w:val="005551CE"/>
    <w:rsid w:val="00560234"/>
    <w:rsid w:val="0056113C"/>
    <w:rsid w:val="00563BA3"/>
    <w:rsid w:val="00565ED1"/>
    <w:rsid w:val="00570F0C"/>
    <w:rsid w:val="0057146E"/>
    <w:rsid w:val="00572DC6"/>
    <w:rsid w:val="005742CA"/>
    <w:rsid w:val="00586C92"/>
    <w:rsid w:val="005A6C8B"/>
    <w:rsid w:val="005B42B8"/>
    <w:rsid w:val="005B5CFD"/>
    <w:rsid w:val="005C37F5"/>
    <w:rsid w:val="005C3C8D"/>
    <w:rsid w:val="005D12B3"/>
    <w:rsid w:val="005D5882"/>
    <w:rsid w:val="005E6554"/>
    <w:rsid w:val="005E6AFC"/>
    <w:rsid w:val="005F0A94"/>
    <w:rsid w:val="005F3342"/>
    <w:rsid w:val="00601CA4"/>
    <w:rsid w:val="00604E9E"/>
    <w:rsid w:val="00605A28"/>
    <w:rsid w:val="00614987"/>
    <w:rsid w:val="00633D1F"/>
    <w:rsid w:val="00670885"/>
    <w:rsid w:val="00670D06"/>
    <w:rsid w:val="006710DE"/>
    <w:rsid w:val="00672632"/>
    <w:rsid w:val="00677F4D"/>
    <w:rsid w:val="00687E36"/>
    <w:rsid w:val="00696E80"/>
    <w:rsid w:val="00697B2B"/>
    <w:rsid w:val="006B7AA2"/>
    <w:rsid w:val="006B7C63"/>
    <w:rsid w:val="006C2063"/>
    <w:rsid w:val="006E4C76"/>
    <w:rsid w:val="006E7C85"/>
    <w:rsid w:val="006F064B"/>
    <w:rsid w:val="00712B46"/>
    <w:rsid w:val="00721784"/>
    <w:rsid w:val="00741566"/>
    <w:rsid w:val="007437B9"/>
    <w:rsid w:val="0075042D"/>
    <w:rsid w:val="00750F37"/>
    <w:rsid w:val="00772B6E"/>
    <w:rsid w:val="00773DF5"/>
    <w:rsid w:val="007773BB"/>
    <w:rsid w:val="007821F7"/>
    <w:rsid w:val="00790E38"/>
    <w:rsid w:val="007932A3"/>
    <w:rsid w:val="00795652"/>
    <w:rsid w:val="007A7046"/>
    <w:rsid w:val="007A7B4C"/>
    <w:rsid w:val="007B4A58"/>
    <w:rsid w:val="007C0C8C"/>
    <w:rsid w:val="007D2B33"/>
    <w:rsid w:val="007D4EDE"/>
    <w:rsid w:val="007D4F6D"/>
    <w:rsid w:val="007F54A6"/>
    <w:rsid w:val="007F7266"/>
    <w:rsid w:val="008400F7"/>
    <w:rsid w:val="00846B77"/>
    <w:rsid w:val="00846E94"/>
    <w:rsid w:val="00850A9E"/>
    <w:rsid w:val="00850D42"/>
    <w:rsid w:val="00853FF1"/>
    <w:rsid w:val="00854DCE"/>
    <w:rsid w:val="00855EAC"/>
    <w:rsid w:val="00856EDA"/>
    <w:rsid w:val="00877576"/>
    <w:rsid w:val="0089047E"/>
    <w:rsid w:val="00891448"/>
    <w:rsid w:val="008A1875"/>
    <w:rsid w:val="008C2E59"/>
    <w:rsid w:val="008C444C"/>
    <w:rsid w:val="008D2A3B"/>
    <w:rsid w:val="008D4A78"/>
    <w:rsid w:val="008E009A"/>
    <w:rsid w:val="008E36F4"/>
    <w:rsid w:val="008E48AC"/>
    <w:rsid w:val="008F3571"/>
    <w:rsid w:val="00900DE3"/>
    <w:rsid w:val="00913667"/>
    <w:rsid w:val="0092418D"/>
    <w:rsid w:val="0092616A"/>
    <w:rsid w:val="00926FA3"/>
    <w:rsid w:val="00931588"/>
    <w:rsid w:val="00936BD6"/>
    <w:rsid w:val="009374BF"/>
    <w:rsid w:val="009406D8"/>
    <w:rsid w:val="00951ECC"/>
    <w:rsid w:val="00953889"/>
    <w:rsid w:val="00957BF3"/>
    <w:rsid w:val="00975ACC"/>
    <w:rsid w:val="009841CE"/>
    <w:rsid w:val="009854E7"/>
    <w:rsid w:val="00986BB8"/>
    <w:rsid w:val="009A0CEE"/>
    <w:rsid w:val="009A23AF"/>
    <w:rsid w:val="009A5ED9"/>
    <w:rsid w:val="009B2DD6"/>
    <w:rsid w:val="009B597C"/>
    <w:rsid w:val="009B6529"/>
    <w:rsid w:val="009B7D22"/>
    <w:rsid w:val="009C152B"/>
    <w:rsid w:val="009C2680"/>
    <w:rsid w:val="009C59E4"/>
    <w:rsid w:val="009D1297"/>
    <w:rsid w:val="009E06BD"/>
    <w:rsid w:val="009E1D4B"/>
    <w:rsid w:val="009E2C85"/>
    <w:rsid w:val="009E38C7"/>
    <w:rsid w:val="009F39DE"/>
    <w:rsid w:val="00A017BB"/>
    <w:rsid w:val="00A01FE6"/>
    <w:rsid w:val="00A143B1"/>
    <w:rsid w:val="00A262DA"/>
    <w:rsid w:val="00A3406B"/>
    <w:rsid w:val="00A344A5"/>
    <w:rsid w:val="00A3464A"/>
    <w:rsid w:val="00A349A4"/>
    <w:rsid w:val="00A34FE9"/>
    <w:rsid w:val="00A4152A"/>
    <w:rsid w:val="00A425DA"/>
    <w:rsid w:val="00A425F1"/>
    <w:rsid w:val="00A533AC"/>
    <w:rsid w:val="00A6123E"/>
    <w:rsid w:val="00A70DDA"/>
    <w:rsid w:val="00A73026"/>
    <w:rsid w:val="00A73BA1"/>
    <w:rsid w:val="00A74E17"/>
    <w:rsid w:val="00A81FA5"/>
    <w:rsid w:val="00A860C3"/>
    <w:rsid w:val="00A9311F"/>
    <w:rsid w:val="00A943B3"/>
    <w:rsid w:val="00A967FC"/>
    <w:rsid w:val="00AA167E"/>
    <w:rsid w:val="00AA2082"/>
    <w:rsid w:val="00AA2753"/>
    <w:rsid w:val="00AA6DCC"/>
    <w:rsid w:val="00AB1A34"/>
    <w:rsid w:val="00AB2134"/>
    <w:rsid w:val="00AD0ED6"/>
    <w:rsid w:val="00AD3A22"/>
    <w:rsid w:val="00AD5C95"/>
    <w:rsid w:val="00AE4A88"/>
    <w:rsid w:val="00AE76D2"/>
    <w:rsid w:val="00AF28AB"/>
    <w:rsid w:val="00AF418F"/>
    <w:rsid w:val="00AF73F1"/>
    <w:rsid w:val="00B01BCD"/>
    <w:rsid w:val="00B0298B"/>
    <w:rsid w:val="00B05191"/>
    <w:rsid w:val="00B06450"/>
    <w:rsid w:val="00B204E4"/>
    <w:rsid w:val="00B23DD0"/>
    <w:rsid w:val="00B300B4"/>
    <w:rsid w:val="00B4021E"/>
    <w:rsid w:val="00B43D6D"/>
    <w:rsid w:val="00B610C4"/>
    <w:rsid w:val="00B61838"/>
    <w:rsid w:val="00B62EEC"/>
    <w:rsid w:val="00B63E88"/>
    <w:rsid w:val="00B67D2F"/>
    <w:rsid w:val="00B719AA"/>
    <w:rsid w:val="00B77E83"/>
    <w:rsid w:val="00B8390A"/>
    <w:rsid w:val="00B855BF"/>
    <w:rsid w:val="00BA04A6"/>
    <w:rsid w:val="00BB109E"/>
    <w:rsid w:val="00BB77DA"/>
    <w:rsid w:val="00BC198C"/>
    <w:rsid w:val="00BC2B37"/>
    <w:rsid w:val="00BC3F65"/>
    <w:rsid w:val="00BC569B"/>
    <w:rsid w:val="00BC5EDB"/>
    <w:rsid w:val="00BC6BFD"/>
    <w:rsid w:val="00BD3FA6"/>
    <w:rsid w:val="00BE1EFA"/>
    <w:rsid w:val="00BE4E76"/>
    <w:rsid w:val="00BE5420"/>
    <w:rsid w:val="00BE5B3F"/>
    <w:rsid w:val="00BE722E"/>
    <w:rsid w:val="00BF0F83"/>
    <w:rsid w:val="00BF3F44"/>
    <w:rsid w:val="00BF5274"/>
    <w:rsid w:val="00BF6EEA"/>
    <w:rsid w:val="00C00D56"/>
    <w:rsid w:val="00C01913"/>
    <w:rsid w:val="00C03F96"/>
    <w:rsid w:val="00C05564"/>
    <w:rsid w:val="00C10619"/>
    <w:rsid w:val="00C21AA2"/>
    <w:rsid w:val="00C3140D"/>
    <w:rsid w:val="00C34E58"/>
    <w:rsid w:val="00C35154"/>
    <w:rsid w:val="00C46D4B"/>
    <w:rsid w:val="00C47F79"/>
    <w:rsid w:val="00C6100E"/>
    <w:rsid w:val="00C612A1"/>
    <w:rsid w:val="00C6161C"/>
    <w:rsid w:val="00C666F1"/>
    <w:rsid w:val="00C66D42"/>
    <w:rsid w:val="00C73DB9"/>
    <w:rsid w:val="00C7605D"/>
    <w:rsid w:val="00C77F1D"/>
    <w:rsid w:val="00C81817"/>
    <w:rsid w:val="00C86239"/>
    <w:rsid w:val="00CA4021"/>
    <w:rsid w:val="00CA5A50"/>
    <w:rsid w:val="00CB3346"/>
    <w:rsid w:val="00CB3F96"/>
    <w:rsid w:val="00CB5A97"/>
    <w:rsid w:val="00CC22E1"/>
    <w:rsid w:val="00CC36CC"/>
    <w:rsid w:val="00CC38C5"/>
    <w:rsid w:val="00CE0C5E"/>
    <w:rsid w:val="00CE4418"/>
    <w:rsid w:val="00CF7724"/>
    <w:rsid w:val="00D0199C"/>
    <w:rsid w:val="00D04A23"/>
    <w:rsid w:val="00D109B7"/>
    <w:rsid w:val="00D123E0"/>
    <w:rsid w:val="00D34E78"/>
    <w:rsid w:val="00D37A14"/>
    <w:rsid w:val="00D52436"/>
    <w:rsid w:val="00D570B6"/>
    <w:rsid w:val="00D573F0"/>
    <w:rsid w:val="00D60C6C"/>
    <w:rsid w:val="00D80027"/>
    <w:rsid w:val="00D901D3"/>
    <w:rsid w:val="00DA0795"/>
    <w:rsid w:val="00DB0142"/>
    <w:rsid w:val="00DC42CE"/>
    <w:rsid w:val="00DC6ACA"/>
    <w:rsid w:val="00DF0409"/>
    <w:rsid w:val="00DF4C17"/>
    <w:rsid w:val="00E011DE"/>
    <w:rsid w:val="00E12029"/>
    <w:rsid w:val="00E1246D"/>
    <w:rsid w:val="00E1360F"/>
    <w:rsid w:val="00E168E5"/>
    <w:rsid w:val="00E178B6"/>
    <w:rsid w:val="00E30BFE"/>
    <w:rsid w:val="00E313DF"/>
    <w:rsid w:val="00E353E2"/>
    <w:rsid w:val="00E452AC"/>
    <w:rsid w:val="00E566BD"/>
    <w:rsid w:val="00E632B1"/>
    <w:rsid w:val="00E64A03"/>
    <w:rsid w:val="00E704C6"/>
    <w:rsid w:val="00E73549"/>
    <w:rsid w:val="00E73775"/>
    <w:rsid w:val="00E756CE"/>
    <w:rsid w:val="00E809DF"/>
    <w:rsid w:val="00E85D34"/>
    <w:rsid w:val="00E910B1"/>
    <w:rsid w:val="00EA096A"/>
    <w:rsid w:val="00EA0D77"/>
    <w:rsid w:val="00EA2408"/>
    <w:rsid w:val="00EA4AD1"/>
    <w:rsid w:val="00EA58E4"/>
    <w:rsid w:val="00EB00C4"/>
    <w:rsid w:val="00EB34B8"/>
    <w:rsid w:val="00EB5B59"/>
    <w:rsid w:val="00ED3F9E"/>
    <w:rsid w:val="00EE1445"/>
    <w:rsid w:val="00EE1CB7"/>
    <w:rsid w:val="00EE1E45"/>
    <w:rsid w:val="00EF6A4B"/>
    <w:rsid w:val="00F023A3"/>
    <w:rsid w:val="00F0483C"/>
    <w:rsid w:val="00F0671E"/>
    <w:rsid w:val="00F23C6D"/>
    <w:rsid w:val="00F319BE"/>
    <w:rsid w:val="00F5143B"/>
    <w:rsid w:val="00F53609"/>
    <w:rsid w:val="00F63514"/>
    <w:rsid w:val="00F67923"/>
    <w:rsid w:val="00F67B20"/>
    <w:rsid w:val="00F72AB9"/>
    <w:rsid w:val="00F7328D"/>
    <w:rsid w:val="00F74D55"/>
    <w:rsid w:val="00F7785C"/>
    <w:rsid w:val="00F95777"/>
    <w:rsid w:val="00F964E1"/>
    <w:rsid w:val="00F978E5"/>
    <w:rsid w:val="00FB65DB"/>
    <w:rsid w:val="00FB69BD"/>
    <w:rsid w:val="00FB70B1"/>
    <w:rsid w:val="00FE121A"/>
    <w:rsid w:val="00FE2048"/>
    <w:rsid w:val="00FF0653"/>
    <w:rsid w:val="00FF5484"/>
    <w:rsid w:val="00FF7C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C6E3C"/>
  <w15:chartTrackingRefBased/>
  <w15:docId w15:val="{4996E7F2-9FD6-40CC-AC16-AC980F25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D5C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2D5CED"/>
    <w:pPr>
      <w:keepNext/>
      <w:keepLines/>
      <w:numPr>
        <w:numId w:val="21"/>
      </w:numPr>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2D5C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D5CE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2D5CED"/>
    <w:pPr>
      <w:keepNext/>
      <w:keepLines/>
      <w:numPr>
        <w:ilvl w:val="3"/>
        <w:numId w:val="21"/>
      </w:numPr>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B71CD"/>
    <w:pPr>
      <w:tabs>
        <w:tab w:val="center" w:pos="4536"/>
        <w:tab w:val="right" w:pos="9072"/>
      </w:tabs>
    </w:pPr>
  </w:style>
  <w:style w:type="character" w:customStyle="1" w:styleId="ZhlavChar">
    <w:name w:val="Záhlaví Char"/>
    <w:basedOn w:val="Standardnpsmoodstavce"/>
    <w:link w:val="Zhlav"/>
    <w:uiPriority w:val="99"/>
    <w:rsid w:val="002B71C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B71CD"/>
    <w:pPr>
      <w:tabs>
        <w:tab w:val="center" w:pos="4536"/>
        <w:tab w:val="right" w:pos="9072"/>
      </w:tabs>
    </w:pPr>
  </w:style>
  <w:style w:type="character" w:customStyle="1" w:styleId="ZpatChar">
    <w:name w:val="Zápatí Char"/>
    <w:basedOn w:val="Standardnpsmoodstavce"/>
    <w:link w:val="Zpat"/>
    <w:uiPriority w:val="99"/>
    <w:rsid w:val="002B71CD"/>
    <w:rPr>
      <w:rFonts w:ascii="Times New Roman" w:eastAsia="Times New Roman" w:hAnsi="Times New Roman" w:cs="Times New Roman"/>
      <w:sz w:val="20"/>
      <w:szCs w:val="20"/>
      <w:lang w:eastAsia="cs-CZ"/>
    </w:rPr>
  </w:style>
  <w:style w:type="paragraph" w:customStyle="1" w:styleId="nadpiszkona">
    <w:name w:val="nadpis zákona"/>
    <w:basedOn w:val="Normln"/>
    <w:qFormat/>
    <w:rsid w:val="002D6F89"/>
    <w:pPr>
      <w:keepNext/>
      <w:keepLines/>
      <w:overflowPunct/>
      <w:autoSpaceDE/>
      <w:autoSpaceDN/>
      <w:adjustRightInd/>
      <w:spacing w:before="120" w:after="200" w:line="276" w:lineRule="auto"/>
      <w:jc w:val="center"/>
      <w:textAlignment w:val="auto"/>
      <w:outlineLvl w:val="0"/>
    </w:pPr>
    <w:rPr>
      <w:rFonts w:ascii="Calibri" w:eastAsia="Calibri" w:hAnsi="Calibri" w:cs="Calibri"/>
      <w:b/>
      <w:sz w:val="22"/>
      <w:szCs w:val="22"/>
      <w:lang w:val="en-US" w:eastAsia="en-US"/>
    </w:rPr>
  </w:style>
  <w:style w:type="paragraph" w:styleId="Textbubliny">
    <w:name w:val="Balloon Text"/>
    <w:basedOn w:val="Normln"/>
    <w:link w:val="TextbublinyChar"/>
    <w:uiPriority w:val="99"/>
    <w:semiHidden/>
    <w:unhideWhenUsed/>
    <w:rsid w:val="002D6F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D6F89"/>
    <w:rPr>
      <w:rFonts w:ascii="Segoe UI" w:eastAsia="Times New Roman" w:hAnsi="Segoe UI" w:cs="Segoe UI"/>
      <w:sz w:val="18"/>
      <w:szCs w:val="18"/>
      <w:lang w:eastAsia="cs-CZ"/>
    </w:rPr>
  </w:style>
  <w:style w:type="character" w:customStyle="1" w:styleId="TextpoznpodarouChar">
    <w:name w:val="Text pozn. pod čarou Char"/>
    <w:link w:val="Textpoznpodarou"/>
    <w:uiPriority w:val="99"/>
    <w:qFormat/>
    <w:rsid w:val="002D6F89"/>
    <w:rPr>
      <w:rFonts w:ascii="Calibri" w:eastAsia="Calibri" w:hAnsi="Calibri"/>
    </w:rPr>
  </w:style>
  <w:style w:type="character" w:styleId="Znakapoznpodarou">
    <w:name w:val="footnote reference"/>
    <w:qFormat/>
    <w:rsid w:val="002D6F89"/>
    <w:rPr>
      <w:rFonts w:cs="Times New Roman"/>
      <w:vertAlign w:val="superscript"/>
    </w:rPr>
  </w:style>
  <w:style w:type="character" w:customStyle="1" w:styleId="Ukotvenpoznmkypodarou">
    <w:name w:val="Ukotvení poznámky pod čarou"/>
    <w:rsid w:val="002D6F89"/>
    <w:rPr>
      <w:vertAlign w:val="superscript"/>
    </w:rPr>
  </w:style>
  <w:style w:type="paragraph" w:styleId="Textpoznpodarou">
    <w:name w:val="footnote text"/>
    <w:basedOn w:val="Normln"/>
    <w:link w:val="TextpoznpodarouChar"/>
    <w:uiPriority w:val="99"/>
    <w:rsid w:val="002D6F89"/>
    <w:pPr>
      <w:overflowPunct/>
      <w:autoSpaceDE/>
      <w:autoSpaceDN/>
      <w:adjustRightInd/>
      <w:spacing w:after="200" w:line="276" w:lineRule="auto"/>
      <w:textAlignment w:val="auto"/>
    </w:pPr>
    <w:rPr>
      <w:rFonts w:ascii="Calibri" w:eastAsia="Calibri" w:hAnsi="Calibri" w:cstheme="minorBidi"/>
      <w:sz w:val="22"/>
      <w:szCs w:val="22"/>
      <w:lang w:eastAsia="en-US"/>
    </w:rPr>
  </w:style>
  <w:style w:type="character" w:customStyle="1" w:styleId="TextpoznpodarouChar1">
    <w:name w:val="Text pozn. pod čarou Char1"/>
    <w:basedOn w:val="Standardnpsmoodstavce"/>
    <w:uiPriority w:val="99"/>
    <w:semiHidden/>
    <w:rsid w:val="002D6F8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EA096A"/>
    <w:pPr>
      <w:ind w:left="720"/>
      <w:contextualSpacing/>
    </w:pPr>
  </w:style>
  <w:style w:type="paragraph" w:customStyle="1" w:styleId="CM1">
    <w:name w:val="CM1"/>
    <w:basedOn w:val="Normln"/>
    <w:next w:val="Normln"/>
    <w:uiPriority w:val="99"/>
    <w:rsid w:val="00A01FE6"/>
    <w:pPr>
      <w:overflowPunct/>
      <w:textAlignment w:val="auto"/>
    </w:pPr>
    <w:rPr>
      <w:rFonts w:ascii="EUAlbertina" w:eastAsiaTheme="minorHAnsi" w:hAnsi="EUAlbertina" w:cstheme="minorBidi"/>
      <w:sz w:val="24"/>
      <w:szCs w:val="24"/>
      <w:lang w:eastAsia="en-US"/>
    </w:rPr>
  </w:style>
  <w:style w:type="paragraph" w:customStyle="1" w:styleId="CM3">
    <w:name w:val="CM3"/>
    <w:basedOn w:val="Normln"/>
    <w:next w:val="Normln"/>
    <w:uiPriority w:val="99"/>
    <w:rsid w:val="00A01FE6"/>
    <w:pPr>
      <w:overflowPunct/>
      <w:textAlignment w:val="auto"/>
    </w:pPr>
    <w:rPr>
      <w:rFonts w:ascii="EUAlbertina" w:eastAsiaTheme="minorHAnsi" w:hAnsi="EUAlbertina" w:cstheme="minorBidi"/>
      <w:sz w:val="24"/>
      <w:szCs w:val="24"/>
      <w:lang w:eastAsia="en-US"/>
    </w:rPr>
  </w:style>
  <w:style w:type="paragraph" w:customStyle="1" w:styleId="Default">
    <w:name w:val="Default"/>
    <w:rsid w:val="00A01FE6"/>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A01FE6"/>
    <w:rPr>
      <w:rFonts w:cstheme="minorBidi"/>
      <w:color w:val="auto"/>
    </w:rPr>
  </w:style>
  <w:style w:type="paragraph" w:customStyle="1" w:styleId="Vvojcen-ad">
    <w:name w:val="Vývoj cen - ad"/>
    <w:basedOn w:val="Normln"/>
    <w:rsid w:val="002D5CED"/>
    <w:pPr>
      <w:overflowPunct/>
      <w:autoSpaceDE/>
      <w:autoSpaceDN/>
      <w:adjustRightInd/>
      <w:spacing w:before="240" w:after="240"/>
      <w:textAlignment w:val="auto"/>
    </w:pPr>
    <w:rPr>
      <w:rFonts w:ascii="Arial" w:hAnsi="Arial"/>
      <w:b/>
      <w:sz w:val="24"/>
      <w:szCs w:val="24"/>
      <w:u w:val="single"/>
    </w:rPr>
  </w:style>
  <w:style w:type="paragraph" w:customStyle="1" w:styleId="Vvojcen-slovanseznam">
    <w:name w:val="Vývoj cen - číslovaný seznam"/>
    <w:basedOn w:val="Normln"/>
    <w:uiPriority w:val="99"/>
    <w:rsid w:val="002D5CED"/>
    <w:pPr>
      <w:numPr>
        <w:numId w:val="17"/>
      </w:numPr>
      <w:overflowPunct/>
      <w:autoSpaceDE/>
      <w:autoSpaceDN/>
      <w:adjustRightInd/>
      <w:spacing w:before="120" w:after="120"/>
      <w:jc w:val="both"/>
      <w:textAlignment w:val="auto"/>
    </w:pPr>
    <w:rPr>
      <w:rFonts w:ascii="Arial" w:hAnsi="Arial" w:cs="Arial"/>
      <w:sz w:val="22"/>
      <w:szCs w:val="22"/>
    </w:rPr>
  </w:style>
  <w:style w:type="paragraph" w:customStyle="1" w:styleId="Vvojcen-delodrky">
    <w:name w:val="Vývoj cen - delší odrážky"/>
    <w:basedOn w:val="Seznam"/>
    <w:rsid w:val="002D5CED"/>
    <w:pPr>
      <w:tabs>
        <w:tab w:val="left" w:pos="3402"/>
      </w:tabs>
      <w:overflowPunct/>
      <w:autoSpaceDE/>
      <w:autoSpaceDN/>
      <w:adjustRightInd/>
      <w:ind w:left="284" w:hanging="284"/>
      <w:contextualSpacing w:val="0"/>
      <w:textAlignment w:val="auto"/>
    </w:pPr>
    <w:rPr>
      <w:rFonts w:ascii="Arial" w:hAnsi="Arial"/>
      <w:sz w:val="22"/>
      <w:szCs w:val="22"/>
    </w:rPr>
  </w:style>
  <w:style w:type="paragraph" w:styleId="Seznam">
    <w:name w:val="List"/>
    <w:basedOn w:val="Normln"/>
    <w:uiPriority w:val="99"/>
    <w:semiHidden/>
    <w:unhideWhenUsed/>
    <w:rsid w:val="002D5CED"/>
    <w:pPr>
      <w:ind w:left="283" w:hanging="283"/>
      <w:contextualSpacing/>
    </w:pPr>
  </w:style>
  <w:style w:type="paragraph" w:customStyle="1" w:styleId="Vvojcen-Graf">
    <w:name w:val="Vývoj cen - Graf"/>
    <w:basedOn w:val="Normln"/>
    <w:next w:val="Normln"/>
    <w:rsid w:val="002D5CED"/>
    <w:pPr>
      <w:keepNext/>
      <w:overflowPunct/>
      <w:autoSpaceDE/>
      <w:autoSpaceDN/>
      <w:adjustRightInd/>
      <w:spacing w:before="240" w:after="240"/>
      <w:jc w:val="both"/>
      <w:textAlignment w:val="auto"/>
    </w:pPr>
    <w:rPr>
      <w:rFonts w:ascii="Arial" w:hAnsi="Arial"/>
      <w:sz w:val="22"/>
      <w:szCs w:val="22"/>
    </w:rPr>
  </w:style>
  <w:style w:type="paragraph" w:customStyle="1" w:styleId="Vvojcen-grafnzev">
    <w:name w:val="Vývoj cen - graf název"/>
    <w:basedOn w:val="Normln"/>
    <w:link w:val="Vvojcen-grafnzevChar"/>
    <w:rsid w:val="002D5CED"/>
    <w:pPr>
      <w:keepNext/>
      <w:overflowPunct/>
      <w:autoSpaceDE/>
      <w:autoSpaceDN/>
      <w:adjustRightInd/>
      <w:spacing w:before="240"/>
      <w:ind w:left="1418" w:hanging="1418"/>
      <w:jc w:val="both"/>
      <w:textAlignment w:val="auto"/>
    </w:pPr>
    <w:rPr>
      <w:rFonts w:ascii="Arial" w:hAnsi="Arial" w:cs="Arial"/>
      <w:b/>
      <w:sz w:val="22"/>
      <w:szCs w:val="22"/>
    </w:rPr>
  </w:style>
  <w:style w:type="character" w:customStyle="1" w:styleId="Vvojcen-grafnzevChar">
    <w:name w:val="Vývoj cen - graf název Char"/>
    <w:basedOn w:val="Standardnpsmoodstavce"/>
    <w:link w:val="Vvojcen-grafnzev"/>
    <w:rsid w:val="002D5CED"/>
    <w:rPr>
      <w:rFonts w:ascii="Arial" w:eastAsia="Times New Roman" w:hAnsi="Arial" w:cs="Arial"/>
      <w:b/>
      <w:lang w:eastAsia="cs-CZ"/>
    </w:rPr>
  </w:style>
  <w:style w:type="paragraph" w:customStyle="1" w:styleId="Vvojcen-hodnocen">
    <w:name w:val="Vývoj cen - hodnocení"/>
    <w:basedOn w:val="Normln"/>
    <w:next w:val="Normln"/>
    <w:rsid w:val="002D5CED"/>
    <w:pPr>
      <w:keepNext/>
      <w:overflowPunct/>
      <w:autoSpaceDE/>
      <w:autoSpaceDN/>
      <w:adjustRightInd/>
      <w:spacing w:before="240" w:after="240"/>
      <w:jc w:val="both"/>
      <w:textAlignment w:val="auto"/>
    </w:pPr>
    <w:rPr>
      <w:rFonts w:ascii="Arial" w:hAnsi="Arial" w:cs="Arial"/>
      <w:color w:val="666699"/>
      <w:sz w:val="22"/>
      <w:szCs w:val="22"/>
      <w:u w:val="single"/>
    </w:rPr>
  </w:style>
  <w:style w:type="paragraph" w:customStyle="1" w:styleId="Vvojcen-nagraf">
    <w:name w:val="Vývoj cen - na graf"/>
    <w:basedOn w:val="Normln"/>
    <w:rsid w:val="002D5CED"/>
    <w:pPr>
      <w:overflowPunct/>
      <w:autoSpaceDE/>
      <w:autoSpaceDN/>
      <w:adjustRightInd/>
      <w:jc w:val="center"/>
      <w:textAlignment w:val="auto"/>
    </w:pPr>
    <w:rPr>
      <w:rFonts w:ascii="Arial" w:hAnsi="Arial" w:cs="Arial"/>
      <w:sz w:val="22"/>
      <w:szCs w:val="22"/>
    </w:rPr>
  </w:style>
  <w:style w:type="paragraph" w:customStyle="1" w:styleId="Vvojcen-natabulku">
    <w:name w:val="Vývoj cen - na tabulku"/>
    <w:basedOn w:val="Normln"/>
    <w:next w:val="Normln"/>
    <w:uiPriority w:val="99"/>
    <w:rsid w:val="002D5CED"/>
    <w:pPr>
      <w:overflowPunct/>
      <w:autoSpaceDE/>
      <w:autoSpaceDN/>
      <w:adjustRightInd/>
      <w:jc w:val="center"/>
      <w:textAlignment w:val="auto"/>
    </w:pPr>
    <w:rPr>
      <w:rFonts w:ascii="Arial" w:hAnsi="Arial"/>
      <w:sz w:val="22"/>
      <w:szCs w:val="22"/>
    </w:rPr>
  </w:style>
  <w:style w:type="paragraph" w:customStyle="1" w:styleId="Vvojcen-nadpis">
    <w:name w:val="Vývoj cen - nadpis"/>
    <w:basedOn w:val="Nzev"/>
    <w:next w:val="Normln"/>
    <w:rsid w:val="002D5CED"/>
    <w:pPr>
      <w:overflowPunct/>
      <w:autoSpaceDE/>
      <w:autoSpaceDN/>
      <w:adjustRightInd/>
      <w:contextualSpacing w:val="0"/>
      <w:jc w:val="center"/>
      <w:textAlignment w:val="auto"/>
      <w:outlineLvl w:val="0"/>
    </w:pPr>
    <w:rPr>
      <w:rFonts w:ascii="Arial" w:eastAsia="Times New Roman" w:hAnsi="Arial" w:cs="Arial"/>
      <w:b/>
      <w:bCs/>
      <w:spacing w:val="0"/>
      <w:sz w:val="32"/>
      <w:szCs w:val="32"/>
    </w:rPr>
  </w:style>
  <w:style w:type="paragraph" w:styleId="Nzev">
    <w:name w:val="Title"/>
    <w:basedOn w:val="Normln"/>
    <w:next w:val="Normln"/>
    <w:link w:val="NzevChar"/>
    <w:uiPriority w:val="10"/>
    <w:qFormat/>
    <w:rsid w:val="002D5CED"/>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D5CED"/>
    <w:rPr>
      <w:rFonts w:asciiTheme="majorHAnsi" w:eastAsiaTheme="majorEastAsia" w:hAnsiTheme="majorHAnsi" w:cstheme="majorBidi"/>
      <w:spacing w:val="-10"/>
      <w:kern w:val="28"/>
      <w:sz w:val="56"/>
      <w:szCs w:val="56"/>
      <w:lang w:eastAsia="cs-CZ"/>
    </w:rPr>
  </w:style>
  <w:style w:type="paragraph" w:customStyle="1" w:styleId="Vvojcen-nadpis3">
    <w:name w:val="Vývoj cen - nadpis 3"/>
    <w:basedOn w:val="Nadpis3"/>
    <w:uiPriority w:val="99"/>
    <w:rsid w:val="002D5CED"/>
    <w:pPr>
      <w:keepLines w:val="0"/>
      <w:numPr>
        <w:ilvl w:val="2"/>
        <w:numId w:val="21"/>
      </w:numPr>
      <w:overflowPunct/>
      <w:autoSpaceDE/>
      <w:autoSpaceDN/>
      <w:adjustRightInd/>
      <w:spacing w:before="240" w:after="60"/>
      <w:jc w:val="both"/>
      <w:textAlignment w:val="auto"/>
    </w:pPr>
    <w:rPr>
      <w:rFonts w:ascii="Arial" w:eastAsia="Times New Roman" w:hAnsi="Arial" w:cs="Arial"/>
      <w:b/>
      <w:bCs/>
      <w:color w:val="auto"/>
      <w:sz w:val="22"/>
      <w:szCs w:val="22"/>
    </w:rPr>
  </w:style>
  <w:style w:type="character" w:customStyle="1" w:styleId="Nadpis3Char">
    <w:name w:val="Nadpis 3 Char"/>
    <w:basedOn w:val="Standardnpsmoodstavce"/>
    <w:link w:val="Nadpis3"/>
    <w:uiPriority w:val="9"/>
    <w:semiHidden/>
    <w:rsid w:val="002D5CED"/>
    <w:rPr>
      <w:rFonts w:asciiTheme="majorHAnsi" w:eastAsiaTheme="majorEastAsia" w:hAnsiTheme="majorHAnsi" w:cstheme="majorBidi"/>
      <w:color w:val="1F4D78" w:themeColor="accent1" w:themeShade="7F"/>
      <w:sz w:val="24"/>
      <w:szCs w:val="24"/>
      <w:lang w:eastAsia="cs-CZ"/>
    </w:rPr>
  </w:style>
  <w:style w:type="paragraph" w:customStyle="1" w:styleId="Vvojcen-nadpis4">
    <w:name w:val="Vývoj cen - nadpis 4"/>
    <w:basedOn w:val="Nadpis4"/>
    <w:next w:val="Normln"/>
    <w:uiPriority w:val="99"/>
    <w:rsid w:val="002D5CED"/>
    <w:pPr>
      <w:keepLines w:val="0"/>
      <w:overflowPunct/>
      <w:autoSpaceDE/>
      <w:autoSpaceDN/>
      <w:adjustRightInd/>
      <w:spacing w:before="240" w:after="60"/>
      <w:ind w:left="862" w:hanging="862"/>
      <w:jc w:val="both"/>
      <w:textAlignment w:val="auto"/>
    </w:pPr>
    <w:rPr>
      <w:rFonts w:ascii="Arial" w:eastAsia="EUAlbertina-Regular-Identity-H" w:hAnsi="Arial" w:cs="EUAlbertina-Regular-Identity-H"/>
      <w:b/>
      <w:i w:val="0"/>
      <w:iCs w:val="0"/>
      <w:color w:val="auto"/>
      <w:sz w:val="22"/>
      <w:szCs w:val="22"/>
    </w:rPr>
  </w:style>
  <w:style w:type="character" w:customStyle="1" w:styleId="Nadpis4Char">
    <w:name w:val="Nadpis 4 Char"/>
    <w:basedOn w:val="Standardnpsmoodstavce"/>
    <w:link w:val="Nadpis4"/>
    <w:uiPriority w:val="9"/>
    <w:semiHidden/>
    <w:rsid w:val="002D5CED"/>
    <w:rPr>
      <w:rFonts w:asciiTheme="majorHAnsi" w:eastAsiaTheme="majorEastAsia" w:hAnsiTheme="majorHAnsi" w:cstheme="majorBidi"/>
      <w:i/>
      <w:iCs/>
      <w:color w:val="2E74B5" w:themeColor="accent1" w:themeShade="BF"/>
      <w:sz w:val="20"/>
      <w:szCs w:val="20"/>
      <w:lang w:eastAsia="cs-CZ"/>
    </w:rPr>
  </w:style>
  <w:style w:type="paragraph" w:customStyle="1" w:styleId="Vvojcen-nadpis1">
    <w:name w:val="Vývoj cen - nadpis1"/>
    <w:basedOn w:val="Nadpis1"/>
    <w:link w:val="Vvojcen-nadpis1Char"/>
    <w:rsid w:val="002D5CED"/>
    <w:pPr>
      <w:keepLines w:val="0"/>
      <w:overflowPunct/>
      <w:autoSpaceDE/>
      <w:autoSpaceDN/>
      <w:adjustRightInd/>
      <w:spacing w:before="360" w:after="240"/>
      <w:ind w:left="431" w:hanging="431"/>
      <w:jc w:val="both"/>
      <w:textAlignment w:val="auto"/>
    </w:pPr>
    <w:rPr>
      <w:rFonts w:ascii="Arial" w:eastAsia="Times New Roman" w:hAnsi="Arial" w:cs="Arial"/>
      <w:b/>
      <w:bCs/>
      <w:color w:val="auto"/>
      <w:kern w:val="32"/>
      <w:sz w:val="28"/>
      <w:szCs w:val="28"/>
    </w:rPr>
  </w:style>
  <w:style w:type="character" w:customStyle="1" w:styleId="Vvojcen-nadpis1Char">
    <w:name w:val="Vývoj cen - nadpis1 Char"/>
    <w:basedOn w:val="Standardnpsmoodstavce"/>
    <w:link w:val="Vvojcen-nadpis1"/>
    <w:rsid w:val="002D5CED"/>
    <w:rPr>
      <w:rFonts w:ascii="Arial" w:eastAsia="Times New Roman" w:hAnsi="Arial" w:cs="Arial"/>
      <w:b/>
      <w:bCs/>
      <w:kern w:val="32"/>
      <w:sz w:val="28"/>
      <w:szCs w:val="28"/>
      <w:lang w:eastAsia="cs-CZ"/>
    </w:rPr>
  </w:style>
  <w:style w:type="character" w:customStyle="1" w:styleId="Nadpis1Char">
    <w:name w:val="Nadpis 1 Char"/>
    <w:basedOn w:val="Standardnpsmoodstavce"/>
    <w:link w:val="Nadpis1"/>
    <w:uiPriority w:val="9"/>
    <w:rsid w:val="002D5CED"/>
    <w:rPr>
      <w:rFonts w:asciiTheme="majorHAnsi" w:eastAsiaTheme="majorEastAsia" w:hAnsiTheme="majorHAnsi" w:cstheme="majorBidi"/>
      <w:color w:val="2E74B5" w:themeColor="accent1" w:themeShade="BF"/>
      <w:sz w:val="32"/>
      <w:szCs w:val="32"/>
      <w:lang w:eastAsia="cs-CZ"/>
    </w:rPr>
  </w:style>
  <w:style w:type="character" w:customStyle="1" w:styleId="Vvojcen-nadpis1CharChar">
    <w:name w:val="Vývoj cen - nadpis1 Char Char"/>
    <w:basedOn w:val="Standardnpsmoodstavce"/>
    <w:rsid w:val="002D5CED"/>
    <w:rPr>
      <w:rFonts w:ascii="Arial" w:hAnsi="Arial" w:cs="Arial"/>
      <w:b/>
      <w:bCs/>
      <w:kern w:val="32"/>
      <w:sz w:val="28"/>
      <w:szCs w:val="28"/>
      <w:lang w:val="cs-CZ" w:eastAsia="cs-CZ" w:bidi="ar-SA"/>
    </w:rPr>
  </w:style>
  <w:style w:type="paragraph" w:customStyle="1" w:styleId="Vvojcen-nadpis2">
    <w:name w:val="Vývoj cen - nadpis2"/>
    <w:basedOn w:val="Nadpis2"/>
    <w:next w:val="Normln"/>
    <w:link w:val="Vvojcen-nadpis2Char"/>
    <w:uiPriority w:val="99"/>
    <w:rsid w:val="002D5CED"/>
    <w:pPr>
      <w:keepLines w:val="0"/>
      <w:numPr>
        <w:ilvl w:val="1"/>
        <w:numId w:val="21"/>
      </w:numPr>
      <w:tabs>
        <w:tab w:val="clear" w:pos="1427"/>
        <w:tab w:val="num" w:pos="576"/>
        <w:tab w:val="left" w:pos="709"/>
      </w:tabs>
      <w:overflowPunct/>
      <w:autoSpaceDE/>
      <w:autoSpaceDN/>
      <w:adjustRightInd/>
      <w:spacing w:before="360" w:after="240"/>
      <w:ind w:left="576"/>
      <w:jc w:val="both"/>
      <w:textAlignment w:val="auto"/>
    </w:pPr>
    <w:rPr>
      <w:rFonts w:ascii="Arial" w:eastAsia="Times New Roman" w:hAnsi="Arial" w:cs="Arial"/>
      <w:b/>
      <w:bCs/>
      <w:iCs/>
      <w:color w:val="auto"/>
      <w:sz w:val="22"/>
      <w:szCs w:val="28"/>
    </w:rPr>
  </w:style>
  <w:style w:type="character" w:customStyle="1" w:styleId="Vvojcen-nadpis2Char">
    <w:name w:val="Vývoj cen - nadpis2 Char"/>
    <w:basedOn w:val="Standardnpsmoodstavce"/>
    <w:link w:val="Vvojcen-nadpis2"/>
    <w:uiPriority w:val="99"/>
    <w:rsid w:val="002D5CED"/>
    <w:rPr>
      <w:rFonts w:ascii="Arial" w:eastAsia="Times New Roman" w:hAnsi="Arial" w:cs="Arial"/>
      <w:b/>
      <w:bCs/>
      <w:iCs/>
      <w:szCs w:val="28"/>
      <w:lang w:eastAsia="cs-CZ"/>
    </w:rPr>
  </w:style>
  <w:style w:type="character" w:customStyle="1" w:styleId="Nadpis2Char">
    <w:name w:val="Nadpis 2 Char"/>
    <w:basedOn w:val="Standardnpsmoodstavce"/>
    <w:link w:val="Nadpis2"/>
    <w:uiPriority w:val="9"/>
    <w:semiHidden/>
    <w:rsid w:val="002D5CED"/>
    <w:rPr>
      <w:rFonts w:asciiTheme="majorHAnsi" w:eastAsiaTheme="majorEastAsia" w:hAnsiTheme="majorHAnsi" w:cstheme="majorBidi"/>
      <w:color w:val="2E74B5" w:themeColor="accent1" w:themeShade="BF"/>
      <w:sz w:val="26"/>
      <w:szCs w:val="26"/>
      <w:lang w:eastAsia="cs-CZ"/>
    </w:rPr>
  </w:style>
  <w:style w:type="paragraph" w:customStyle="1" w:styleId="Vvojcen-nzevdokumentu">
    <w:name w:val="Vývoj cen - název dokumentu"/>
    <w:basedOn w:val="Normln"/>
    <w:rsid w:val="002D5CED"/>
    <w:pPr>
      <w:overflowPunct/>
      <w:autoSpaceDE/>
      <w:autoSpaceDN/>
      <w:adjustRightInd/>
      <w:spacing w:before="3000" w:after="720"/>
      <w:jc w:val="center"/>
      <w:textAlignment w:val="auto"/>
    </w:pPr>
    <w:rPr>
      <w:rFonts w:ascii="Arial" w:hAnsi="Arial"/>
      <w:b/>
      <w:bCs/>
      <w:sz w:val="40"/>
      <w:szCs w:val="40"/>
    </w:rPr>
  </w:style>
  <w:style w:type="paragraph" w:customStyle="1" w:styleId="Vvojcen-odrky">
    <w:name w:val="Vývoj cen - odrážky"/>
    <w:basedOn w:val="Seznam"/>
    <w:uiPriority w:val="99"/>
    <w:rsid w:val="002D5CED"/>
    <w:pPr>
      <w:numPr>
        <w:numId w:val="22"/>
      </w:numPr>
      <w:overflowPunct/>
      <w:autoSpaceDE/>
      <w:autoSpaceDN/>
      <w:adjustRightInd/>
      <w:spacing w:before="120"/>
      <w:contextualSpacing w:val="0"/>
      <w:jc w:val="both"/>
      <w:textAlignment w:val="auto"/>
    </w:pPr>
    <w:rPr>
      <w:rFonts w:ascii="Arial" w:hAnsi="Arial" w:cs="Arial"/>
      <w:sz w:val="22"/>
      <w:szCs w:val="22"/>
    </w:rPr>
  </w:style>
  <w:style w:type="paragraph" w:customStyle="1" w:styleId="Vvojcen-odrkydel">
    <w:name w:val="Vývoj cen - odrážky delší"/>
    <w:basedOn w:val="Seznam"/>
    <w:link w:val="Vvojcen-odrkydelChar"/>
    <w:uiPriority w:val="99"/>
    <w:rsid w:val="002D5CED"/>
    <w:pPr>
      <w:numPr>
        <w:numId w:val="23"/>
      </w:numPr>
      <w:tabs>
        <w:tab w:val="left" w:pos="3249"/>
      </w:tabs>
      <w:overflowPunct/>
      <w:autoSpaceDE/>
      <w:autoSpaceDN/>
      <w:adjustRightInd/>
      <w:contextualSpacing w:val="0"/>
      <w:textAlignment w:val="auto"/>
    </w:pPr>
    <w:rPr>
      <w:rFonts w:ascii="Arial" w:hAnsi="Arial"/>
      <w:sz w:val="22"/>
      <w:szCs w:val="22"/>
    </w:rPr>
  </w:style>
  <w:style w:type="character" w:customStyle="1" w:styleId="Vvojcen-odrkydelChar">
    <w:name w:val="Vývoj cen - odrážky delší Char"/>
    <w:basedOn w:val="Standardnpsmoodstavce"/>
    <w:link w:val="Vvojcen-odrkydel"/>
    <w:uiPriority w:val="99"/>
    <w:rsid w:val="002D5CED"/>
    <w:rPr>
      <w:rFonts w:ascii="Arial" w:eastAsia="Times New Roman" w:hAnsi="Arial" w:cs="Times New Roman"/>
      <w:lang w:eastAsia="cs-CZ"/>
    </w:rPr>
  </w:style>
  <w:style w:type="paragraph" w:customStyle="1" w:styleId="Vvojcen-podnadpis">
    <w:name w:val="Vývoj cen - podnadpis"/>
    <w:basedOn w:val="Normln"/>
    <w:next w:val="Normln"/>
    <w:uiPriority w:val="99"/>
    <w:rsid w:val="002D5CED"/>
    <w:pPr>
      <w:keepNext/>
      <w:overflowPunct/>
      <w:autoSpaceDE/>
      <w:autoSpaceDN/>
      <w:adjustRightInd/>
      <w:spacing w:before="360" w:after="120"/>
      <w:textAlignment w:val="auto"/>
    </w:pPr>
    <w:rPr>
      <w:rFonts w:ascii="Arial" w:hAnsi="Arial" w:cs="Arial"/>
      <w:b/>
      <w:sz w:val="22"/>
      <w:szCs w:val="22"/>
    </w:rPr>
  </w:style>
  <w:style w:type="paragraph" w:customStyle="1" w:styleId="Vvojcen-poznmka">
    <w:name w:val="Vývoj cen - poznámka"/>
    <w:basedOn w:val="Normln"/>
    <w:link w:val="Vvojcen-poznmkaChar"/>
    <w:rsid w:val="002D5CED"/>
    <w:pPr>
      <w:overflowPunct/>
      <w:autoSpaceDE/>
      <w:autoSpaceDN/>
      <w:adjustRightInd/>
      <w:spacing w:after="240"/>
      <w:textAlignment w:val="auto"/>
    </w:pPr>
    <w:rPr>
      <w:rFonts w:ascii="Arial" w:hAnsi="Arial" w:cs="Arial"/>
      <w:sz w:val="18"/>
      <w:szCs w:val="18"/>
    </w:rPr>
  </w:style>
  <w:style w:type="character" w:customStyle="1" w:styleId="Vvojcen-poznmkaChar">
    <w:name w:val="Vývoj cen - poznámka Char"/>
    <w:basedOn w:val="Standardnpsmoodstavce"/>
    <w:link w:val="Vvojcen-poznmka"/>
    <w:rsid w:val="002D5CED"/>
    <w:rPr>
      <w:rFonts w:ascii="Arial" w:eastAsia="Times New Roman" w:hAnsi="Arial" w:cs="Arial"/>
      <w:sz w:val="18"/>
      <w:szCs w:val="18"/>
      <w:lang w:eastAsia="cs-CZ"/>
    </w:rPr>
  </w:style>
  <w:style w:type="paragraph" w:customStyle="1" w:styleId="Vvojcen-tabulka">
    <w:name w:val="Vývoj cen - tabulka"/>
    <w:basedOn w:val="Zkladntext"/>
    <w:rsid w:val="002D5CED"/>
    <w:pPr>
      <w:keepNext/>
      <w:overflowPunct/>
      <w:autoSpaceDE/>
      <w:autoSpaceDN/>
      <w:adjustRightInd/>
      <w:spacing w:before="240" w:after="240"/>
      <w:textAlignment w:val="auto"/>
    </w:pPr>
    <w:rPr>
      <w:rFonts w:ascii="Arial" w:hAnsi="Arial" w:cs="Arial"/>
      <w:sz w:val="22"/>
      <w:lang w:eastAsia="en-US"/>
    </w:rPr>
  </w:style>
  <w:style w:type="paragraph" w:styleId="Zkladntext">
    <w:name w:val="Body Text"/>
    <w:basedOn w:val="Normln"/>
    <w:link w:val="ZkladntextChar"/>
    <w:uiPriority w:val="99"/>
    <w:semiHidden/>
    <w:unhideWhenUsed/>
    <w:rsid w:val="002D5CED"/>
    <w:pPr>
      <w:spacing w:after="120"/>
    </w:pPr>
  </w:style>
  <w:style w:type="character" w:customStyle="1" w:styleId="ZkladntextChar">
    <w:name w:val="Základní text Char"/>
    <w:basedOn w:val="Standardnpsmoodstavce"/>
    <w:link w:val="Zkladntext"/>
    <w:uiPriority w:val="99"/>
    <w:semiHidden/>
    <w:rsid w:val="002D5CED"/>
    <w:rPr>
      <w:rFonts w:ascii="Times New Roman" w:eastAsia="Times New Roman" w:hAnsi="Times New Roman" w:cs="Times New Roman"/>
      <w:sz w:val="20"/>
      <w:szCs w:val="20"/>
      <w:lang w:eastAsia="cs-CZ"/>
    </w:rPr>
  </w:style>
  <w:style w:type="paragraph" w:customStyle="1" w:styleId="Vvojcen-tabulkanzev">
    <w:name w:val="Vývoj cen - tabulka název"/>
    <w:basedOn w:val="Zkladntext"/>
    <w:next w:val="Normln"/>
    <w:link w:val="Vvojcen-tabulkanzevChar"/>
    <w:uiPriority w:val="99"/>
    <w:rsid w:val="002D5CED"/>
    <w:pPr>
      <w:keepNext/>
      <w:overflowPunct/>
      <w:autoSpaceDE/>
      <w:autoSpaceDN/>
      <w:adjustRightInd/>
      <w:spacing w:before="240"/>
      <w:ind w:left="1418" w:hanging="1418"/>
      <w:jc w:val="both"/>
      <w:textAlignment w:val="auto"/>
    </w:pPr>
    <w:rPr>
      <w:rFonts w:ascii="Arial" w:hAnsi="Arial" w:cs="Arial"/>
      <w:b/>
      <w:sz w:val="22"/>
      <w:szCs w:val="22"/>
      <w:lang w:eastAsia="en-US"/>
    </w:rPr>
  </w:style>
  <w:style w:type="character" w:customStyle="1" w:styleId="Vvojcen-tabulkanzevChar">
    <w:name w:val="Vývoj cen - tabulka název Char"/>
    <w:basedOn w:val="Standardnpsmoodstavce"/>
    <w:link w:val="Vvojcen-tabulkanzev"/>
    <w:uiPriority w:val="99"/>
    <w:rsid w:val="002D5CED"/>
    <w:rPr>
      <w:rFonts w:ascii="Arial" w:eastAsia="Times New Roman" w:hAnsi="Arial" w:cs="Arial"/>
      <w:b/>
    </w:rPr>
  </w:style>
  <w:style w:type="paragraph" w:customStyle="1" w:styleId="Vvojcen-zkladntext">
    <w:name w:val="Vývoj cen - základní text"/>
    <w:basedOn w:val="Normln"/>
    <w:link w:val="Vvojcen-zkladntextChar"/>
    <w:uiPriority w:val="99"/>
    <w:rsid w:val="002D5CED"/>
    <w:pPr>
      <w:overflowPunct/>
      <w:autoSpaceDE/>
      <w:autoSpaceDN/>
      <w:adjustRightInd/>
      <w:spacing w:before="120" w:after="120"/>
      <w:ind w:firstLine="709"/>
      <w:jc w:val="both"/>
      <w:textAlignment w:val="auto"/>
    </w:pPr>
    <w:rPr>
      <w:rFonts w:ascii="Arial" w:hAnsi="Arial"/>
      <w:sz w:val="22"/>
      <w:szCs w:val="22"/>
    </w:rPr>
  </w:style>
  <w:style w:type="character" w:customStyle="1" w:styleId="Vvojcen-zkladntextChar">
    <w:name w:val="Vývoj cen - základní text Char"/>
    <w:basedOn w:val="Standardnpsmoodstavce"/>
    <w:link w:val="Vvojcen-zkladntext"/>
    <w:uiPriority w:val="99"/>
    <w:rsid w:val="002D5CED"/>
    <w:rPr>
      <w:rFonts w:ascii="Arial" w:eastAsia="Times New Roman" w:hAnsi="Arial" w:cs="Times New Roman"/>
      <w:lang w:eastAsia="cs-CZ"/>
    </w:rPr>
  </w:style>
  <w:style w:type="character" w:styleId="slodku">
    <w:name w:val="line number"/>
    <w:basedOn w:val="Standardnpsmoodstavce"/>
    <w:uiPriority w:val="99"/>
    <w:semiHidden/>
    <w:unhideWhenUsed/>
    <w:rsid w:val="00BC2B37"/>
  </w:style>
  <w:style w:type="character" w:styleId="Odkaznakoment">
    <w:name w:val="annotation reference"/>
    <w:basedOn w:val="Standardnpsmoodstavce"/>
    <w:uiPriority w:val="99"/>
    <w:semiHidden/>
    <w:unhideWhenUsed/>
    <w:rsid w:val="00F5143B"/>
    <w:rPr>
      <w:sz w:val="16"/>
      <w:szCs w:val="16"/>
    </w:rPr>
  </w:style>
  <w:style w:type="paragraph" w:styleId="Textkomente">
    <w:name w:val="annotation text"/>
    <w:basedOn w:val="Normln"/>
    <w:link w:val="TextkomenteChar"/>
    <w:uiPriority w:val="99"/>
    <w:semiHidden/>
    <w:unhideWhenUsed/>
    <w:rsid w:val="00F5143B"/>
  </w:style>
  <w:style w:type="character" w:customStyle="1" w:styleId="TextkomenteChar">
    <w:name w:val="Text komentáře Char"/>
    <w:basedOn w:val="Standardnpsmoodstavce"/>
    <w:link w:val="Textkomente"/>
    <w:uiPriority w:val="99"/>
    <w:semiHidden/>
    <w:rsid w:val="00F5143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5143B"/>
    <w:rPr>
      <w:b/>
      <w:bCs/>
    </w:rPr>
  </w:style>
  <w:style w:type="character" w:customStyle="1" w:styleId="PedmtkomenteChar">
    <w:name w:val="Předmět komentáře Char"/>
    <w:basedOn w:val="TextkomenteChar"/>
    <w:link w:val="Pedmtkomente"/>
    <w:uiPriority w:val="99"/>
    <w:semiHidden/>
    <w:rsid w:val="00F5143B"/>
    <w:rPr>
      <w:rFonts w:ascii="Times New Roman" w:eastAsia="Times New Roman" w:hAnsi="Times New Roman" w:cs="Times New Roman"/>
      <w:b/>
      <w:bCs/>
      <w:sz w:val="20"/>
      <w:szCs w:val="20"/>
      <w:lang w:eastAsia="cs-CZ"/>
    </w:rPr>
  </w:style>
  <w:style w:type="paragraph" w:styleId="Nadpisobsahu">
    <w:name w:val="TOC Heading"/>
    <w:basedOn w:val="Nadpis1"/>
    <w:next w:val="Normln"/>
    <w:uiPriority w:val="39"/>
    <w:unhideWhenUsed/>
    <w:qFormat/>
    <w:rsid w:val="002C52CF"/>
    <w:pPr>
      <w:numPr>
        <w:numId w:val="0"/>
      </w:numPr>
      <w:overflowPunct/>
      <w:autoSpaceDE/>
      <w:autoSpaceDN/>
      <w:adjustRightInd/>
      <w:spacing w:line="259" w:lineRule="auto"/>
      <w:textAlignment w:val="auto"/>
      <w:outlineLvl w:val="9"/>
    </w:pPr>
  </w:style>
  <w:style w:type="paragraph" w:styleId="Obsah1">
    <w:name w:val="toc 1"/>
    <w:basedOn w:val="Normln"/>
    <w:next w:val="Normln"/>
    <w:autoRedefine/>
    <w:uiPriority w:val="39"/>
    <w:unhideWhenUsed/>
    <w:rsid w:val="002C52CF"/>
    <w:pPr>
      <w:spacing w:before="120"/>
    </w:pPr>
    <w:rPr>
      <w:rFonts w:asciiTheme="minorHAnsi" w:hAnsiTheme="minorHAnsi"/>
      <w:b/>
      <w:bCs/>
      <w:i/>
      <w:iCs/>
      <w:sz w:val="24"/>
      <w:szCs w:val="24"/>
    </w:rPr>
  </w:style>
  <w:style w:type="paragraph" w:styleId="Obsah2">
    <w:name w:val="toc 2"/>
    <w:basedOn w:val="Normln"/>
    <w:next w:val="Normln"/>
    <w:autoRedefine/>
    <w:uiPriority w:val="39"/>
    <w:unhideWhenUsed/>
    <w:rsid w:val="002C52CF"/>
    <w:pPr>
      <w:spacing w:before="120"/>
      <w:ind w:left="200"/>
    </w:pPr>
    <w:rPr>
      <w:rFonts w:asciiTheme="minorHAnsi" w:hAnsiTheme="minorHAnsi"/>
      <w:b/>
      <w:bCs/>
      <w:sz w:val="22"/>
      <w:szCs w:val="22"/>
    </w:rPr>
  </w:style>
  <w:style w:type="paragraph" w:styleId="Obsah3">
    <w:name w:val="toc 3"/>
    <w:basedOn w:val="Normln"/>
    <w:next w:val="Normln"/>
    <w:autoRedefine/>
    <w:uiPriority w:val="39"/>
    <w:unhideWhenUsed/>
    <w:rsid w:val="002C52CF"/>
    <w:pPr>
      <w:ind w:left="400"/>
    </w:pPr>
    <w:rPr>
      <w:rFonts w:asciiTheme="minorHAnsi" w:hAnsiTheme="minorHAnsi"/>
    </w:rPr>
  </w:style>
  <w:style w:type="character" w:styleId="Hypertextovodkaz">
    <w:name w:val="Hyperlink"/>
    <w:basedOn w:val="Standardnpsmoodstavce"/>
    <w:uiPriority w:val="99"/>
    <w:unhideWhenUsed/>
    <w:rsid w:val="002C52CF"/>
    <w:rPr>
      <w:color w:val="0563C1" w:themeColor="hyperlink"/>
      <w:u w:val="single"/>
    </w:rPr>
  </w:style>
  <w:style w:type="paragraph" w:styleId="Obsah4">
    <w:name w:val="toc 4"/>
    <w:basedOn w:val="Normln"/>
    <w:next w:val="Normln"/>
    <w:autoRedefine/>
    <w:uiPriority w:val="39"/>
    <w:unhideWhenUsed/>
    <w:rsid w:val="002C52CF"/>
    <w:pPr>
      <w:ind w:left="600"/>
    </w:pPr>
    <w:rPr>
      <w:rFonts w:asciiTheme="minorHAnsi" w:hAnsiTheme="minorHAnsi"/>
    </w:rPr>
  </w:style>
  <w:style w:type="paragraph" w:styleId="Obsah5">
    <w:name w:val="toc 5"/>
    <w:basedOn w:val="Normln"/>
    <w:next w:val="Normln"/>
    <w:autoRedefine/>
    <w:uiPriority w:val="39"/>
    <w:unhideWhenUsed/>
    <w:rsid w:val="002C52CF"/>
    <w:pPr>
      <w:ind w:left="800"/>
    </w:pPr>
    <w:rPr>
      <w:rFonts w:asciiTheme="minorHAnsi" w:hAnsiTheme="minorHAnsi"/>
    </w:rPr>
  </w:style>
  <w:style w:type="paragraph" w:styleId="Obsah6">
    <w:name w:val="toc 6"/>
    <w:basedOn w:val="Normln"/>
    <w:next w:val="Normln"/>
    <w:autoRedefine/>
    <w:uiPriority w:val="39"/>
    <w:unhideWhenUsed/>
    <w:rsid w:val="002C52CF"/>
    <w:pPr>
      <w:ind w:left="1000"/>
    </w:pPr>
    <w:rPr>
      <w:rFonts w:asciiTheme="minorHAnsi" w:hAnsiTheme="minorHAnsi"/>
    </w:rPr>
  </w:style>
  <w:style w:type="paragraph" w:styleId="Obsah7">
    <w:name w:val="toc 7"/>
    <w:basedOn w:val="Normln"/>
    <w:next w:val="Normln"/>
    <w:autoRedefine/>
    <w:uiPriority w:val="39"/>
    <w:unhideWhenUsed/>
    <w:rsid w:val="002C52CF"/>
    <w:pPr>
      <w:ind w:left="1200"/>
    </w:pPr>
    <w:rPr>
      <w:rFonts w:asciiTheme="minorHAnsi" w:hAnsiTheme="minorHAnsi"/>
    </w:rPr>
  </w:style>
  <w:style w:type="paragraph" w:styleId="Obsah8">
    <w:name w:val="toc 8"/>
    <w:basedOn w:val="Normln"/>
    <w:next w:val="Normln"/>
    <w:autoRedefine/>
    <w:uiPriority w:val="39"/>
    <w:unhideWhenUsed/>
    <w:rsid w:val="002C52CF"/>
    <w:pPr>
      <w:ind w:left="1400"/>
    </w:pPr>
    <w:rPr>
      <w:rFonts w:asciiTheme="minorHAnsi" w:hAnsiTheme="minorHAnsi"/>
    </w:rPr>
  </w:style>
  <w:style w:type="paragraph" w:styleId="Obsah9">
    <w:name w:val="toc 9"/>
    <w:basedOn w:val="Normln"/>
    <w:next w:val="Normln"/>
    <w:autoRedefine/>
    <w:uiPriority w:val="39"/>
    <w:unhideWhenUsed/>
    <w:rsid w:val="002C52CF"/>
    <w:pPr>
      <w:ind w:left="1600"/>
    </w:pPr>
    <w:rPr>
      <w:rFonts w:asciiTheme="minorHAnsi" w:hAnsiTheme="minorHAnsi"/>
    </w:rPr>
  </w:style>
  <w:style w:type="character" w:styleId="Zstupntext">
    <w:name w:val="Placeholder Text"/>
    <w:basedOn w:val="Standardnpsmoodstavce"/>
    <w:uiPriority w:val="99"/>
    <w:semiHidden/>
    <w:rsid w:val="005449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3795">
      <w:bodyDiv w:val="1"/>
      <w:marLeft w:val="0"/>
      <w:marRight w:val="0"/>
      <w:marTop w:val="0"/>
      <w:marBottom w:val="0"/>
      <w:divBdr>
        <w:top w:val="none" w:sz="0" w:space="0" w:color="auto"/>
        <w:left w:val="none" w:sz="0" w:space="0" w:color="auto"/>
        <w:bottom w:val="none" w:sz="0" w:space="0" w:color="auto"/>
        <w:right w:val="none" w:sz="0" w:space="0" w:color="auto"/>
      </w:divBdr>
      <w:divsChild>
        <w:div w:id="534276778">
          <w:marLeft w:val="0"/>
          <w:marRight w:val="0"/>
          <w:marTop w:val="0"/>
          <w:marBottom w:val="0"/>
          <w:divBdr>
            <w:top w:val="none" w:sz="0" w:space="0" w:color="auto"/>
            <w:left w:val="none" w:sz="0" w:space="0" w:color="auto"/>
            <w:bottom w:val="none" w:sz="0" w:space="0" w:color="auto"/>
            <w:right w:val="none" w:sz="0" w:space="0" w:color="auto"/>
          </w:divBdr>
        </w:div>
        <w:div w:id="337195856">
          <w:marLeft w:val="0"/>
          <w:marRight w:val="0"/>
          <w:marTop w:val="0"/>
          <w:marBottom w:val="0"/>
          <w:divBdr>
            <w:top w:val="none" w:sz="0" w:space="0" w:color="auto"/>
            <w:left w:val="none" w:sz="0" w:space="0" w:color="auto"/>
            <w:bottom w:val="none" w:sz="0" w:space="0" w:color="auto"/>
            <w:right w:val="none" w:sz="0" w:space="0" w:color="auto"/>
          </w:divBdr>
        </w:div>
        <w:div w:id="602882442">
          <w:marLeft w:val="0"/>
          <w:marRight w:val="0"/>
          <w:marTop w:val="0"/>
          <w:marBottom w:val="0"/>
          <w:divBdr>
            <w:top w:val="none" w:sz="0" w:space="0" w:color="auto"/>
            <w:left w:val="none" w:sz="0" w:space="0" w:color="auto"/>
            <w:bottom w:val="none" w:sz="0" w:space="0" w:color="auto"/>
            <w:right w:val="none" w:sz="0" w:space="0" w:color="auto"/>
          </w:divBdr>
        </w:div>
        <w:div w:id="1540555480">
          <w:marLeft w:val="0"/>
          <w:marRight w:val="0"/>
          <w:marTop w:val="0"/>
          <w:marBottom w:val="0"/>
          <w:divBdr>
            <w:top w:val="none" w:sz="0" w:space="0" w:color="auto"/>
            <w:left w:val="none" w:sz="0" w:space="0" w:color="auto"/>
            <w:bottom w:val="none" w:sz="0" w:space="0" w:color="auto"/>
            <w:right w:val="none" w:sz="0" w:space="0" w:color="auto"/>
          </w:divBdr>
        </w:div>
        <w:div w:id="517893898">
          <w:marLeft w:val="0"/>
          <w:marRight w:val="0"/>
          <w:marTop w:val="0"/>
          <w:marBottom w:val="0"/>
          <w:divBdr>
            <w:top w:val="none" w:sz="0" w:space="0" w:color="auto"/>
            <w:left w:val="none" w:sz="0" w:space="0" w:color="auto"/>
            <w:bottom w:val="none" w:sz="0" w:space="0" w:color="auto"/>
            <w:right w:val="none" w:sz="0" w:space="0" w:color="auto"/>
          </w:divBdr>
        </w:div>
        <w:div w:id="1817723558">
          <w:marLeft w:val="0"/>
          <w:marRight w:val="0"/>
          <w:marTop w:val="0"/>
          <w:marBottom w:val="0"/>
          <w:divBdr>
            <w:top w:val="none" w:sz="0" w:space="0" w:color="auto"/>
            <w:left w:val="none" w:sz="0" w:space="0" w:color="auto"/>
            <w:bottom w:val="none" w:sz="0" w:space="0" w:color="auto"/>
            <w:right w:val="none" w:sz="0" w:space="0" w:color="auto"/>
          </w:divBdr>
        </w:div>
        <w:div w:id="2095472644">
          <w:marLeft w:val="0"/>
          <w:marRight w:val="0"/>
          <w:marTop w:val="0"/>
          <w:marBottom w:val="0"/>
          <w:divBdr>
            <w:top w:val="none" w:sz="0" w:space="0" w:color="auto"/>
            <w:left w:val="none" w:sz="0" w:space="0" w:color="auto"/>
            <w:bottom w:val="none" w:sz="0" w:space="0" w:color="auto"/>
            <w:right w:val="none" w:sz="0" w:space="0" w:color="auto"/>
          </w:divBdr>
        </w:div>
        <w:div w:id="358820660">
          <w:marLeft w:val="0"/>
          <w:marRight w:val="0"/>
          <w:marTop w:val="0"/>
          <w:marBottom w:val="0"/>
          <w:divBdr>
            <w:top w:val="none" w:sz="0" w:space="0" w:color="auto"/>
            <w:left w:val="none" w:sz="0" w:space="0" w:color="auto"/>
            <w:bottom w:val="none" w:sz="0" w:space="0" w:color="auto"/>
            <w:right w:val="none" w:sz="0" w:space="0" w:color="auto"/>
          </w:divBdr>
        </w:div>
        <w:div w:id="1847280906">
          <w:marLeft w:val="0"/>
          <w:marRight w:val="0"/>
          <w:marTop w:val="0"/>
          <w:marBottom w:val="0"/>
          <w:divBdr>
            <w:top w:val="none" w:sz="0" w:space="0" w:color="auto"/>
            <w:left w:val="none" w:sz="0" w:space="0" w:color="auto"/>
            <w:bottom w:val="none" w:sz="0" w:space="0" w:color="auto"/>
            <w:right w:val="none" w:sz="0" w:space="0" w:color="auto"/>
          </w:divBdr>
        </w:div>
        <w:div w:id="555091374">
          <w:marLeft w:val="0"/>
          <w:marRight w:val="0"/>
          <w:marTop w:val="0"/>
          <w:marBottom w:val="0"/>
          <w:divBdr>
            <w:top w:val="none" w:sz="0" w:space="0" w:color="auto"/>
            <w:left w:val="none" w:sz="0" w:space="0" w:color="auto"/>
            <w:bottom w:val="none" w:sz="0" w:space="0" w:color="auto"/>
            <w:right w:val="none" w:sz="0" w:space="0" w:color="auto"/>
          </w:divBdr>
        </w:div>
        <w:div w:id="1636181868">
          <w:marLeft w:val="0"/>
          <w:marRight w:val="0"/>
          <w:marTop w:val="0"/>
          <w:marBottom w:val="0"/>
          <w:divBdr>
            <w:top w:val="none" w:sz="0" w:space="0" w:color="auto"/>
            <w:left w:val="none" w:sz="0" w:space="0" w:color="auto"/>
            <w:bottom w:val="none" w:sz="0" w:space="0" w:color="auto"/>
            <w:right w:val="none" w:sz="0" w:space="0" w:color="auto"/>
          </w:divBdr>
        </w:div>
        <w:div w:id="2112234178">
          <w:marLeft w:val="0"/>
          <w:marRight w:val="0"/>
          <w:marTop w:val="0"/>
          <w:marBottom w:val="0"/>
          <w:divBdr>
            <w:top w:val="none" w:sz="0" w:space="0" w:color="auto"/>
            <w:left w:val="none" w:sz="0" w:space="0" w:color="auto"/>
            <w:bottom w:val="none" w:sz="0" w:space="0" w:color="auto"/>
            <w:right w:val="none" w:sz="0" w:space="0" w:color="auto"/>
          </w:divBdr>
        </w:div>
      </w:divsChild>
    </w:div>
    <w:div w:id="170804956">
      <w:bodyDiv w:val="1"/>
      <w:marLeft w:val="0"/>
      <w:marRight w:val="0"/>
      <w:marTop w:val="0"/>
      <w:marBottom w:val="0"/>
      <w:divBdr>
        <w:top w:val="none" w:sz="0" w:space="0" w:color="auto"/>
        <w:left w:val="none" w:sz="0" w:space="0" w:color="auto"/>
        <w:bottom w:val="none" w:sz="0" w:space="0" w:color="auto"/>
        <w:right w:val="none" w:sz="0" w:space="0" w:color="auto"/>
      </w:divBdr>
    </w:div>
    <w:div w:id="772093575">
      <w:bodyDiv w:val="1"/>
      <w:marLeft w:val="0"/>
      <w:marRight w:val="0"/>
      <w:marTop w:val="0"/>
      <w:marBottom w:val="0"/>
      <w:divBdr>
        <w:top w:val="none" w:sz="0" w:space="0" w:color="auto"/>
        <w:left w:val="none" w:sz="0" w:space="0" w:color="auto"/>
        <w:bottom w:val="none" w:sz="0" w:space="0" w:color="auto"/>
        <w:right w:val="none" w:sz="0" w:space="0" w:color="auto"/>
      </w:divBdr>
    </w:div>
    <w:div w:id="1160730113">
      <w:bodyDiv w:val="1"/>
      <w:marLeft w:val="0"/>
      <w:marRight w:val="0"/>
      <w:marTop w:val="0"/>
      <w:marBottom w:val="0"/>
      <w:divBdr>
        <w:top w:val="none" w:sz="0" w:space="0" w:color="auto"/>
        <w:left w:val="none" w:sz="0" w:space="0" w:color="auto"/>
        <w:bottom w:val="none" w:sz="0" w:space="0" w:color="auto"/>
        <w:right w:val="none" w:sz="0" w:space="0" w:color="auto"/>
      </w:divBdr>
    </w:div>
    <w:div w:id="1724018442">
      <w:bodyDiv w:val="1"/>
      <w:marLeft w:val="0"/>
      <w:marRight w:val="0"/>
      <w:marTop w:val="0"/>
      <w:marBottom w:val="0"/>
      <w:divBdr>
        <w:top w:val="none" w:sz="0" w:space="0" w:color="auto"/>
        <w:left w:val="none" w:sz="0" w:space="0" w:color="auto"/>
        <w:bottom w:val="none" w:sz="0" w:space="0" w:color="auto"/>
        <w:right w:val="none" w:sz="0" w:space="0" w:color="auto"/>
      </w:divBdr>
    </w:div>
    <w:div w:id="194419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tu.cz/cs/download/oop/oop_04/oop_04-09_2014-06.pdf" TargetMode="External"/><Relationship Id="rId1" Type="http://schemas.openxmlformats.org/officeDocument/2006/relationships/hyperlink" Target="https://www.ctu.cz/sites/default/files/obsah/ckeditor/oop_04-12_2015-0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F22C7-FB2B-4431-B5EA-D769B0A12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ED87785A.dotm</Template>
  <TotalTime>5</TotalTime>
  <Pages>15</Pages>
  <Words>5678</Words>
  <Characters>33504</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ctu</Company>
  <LinksUpToDate>false</LinksUpToDate>
  <CharactersWithSpaces>39104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VOPALECKÝ Jaroslav</dc:creator>
  <cp:keywords/>
  <dc:description/>
  <cp:lastModifiedBy>ŠUBRT Pavel</cp:lastModifiedBy>
  <cp:revision>3</cp:revision>
  <dcterms:created xsi:type="dcterms:W3CDTF">2017-11-27T14:29:00Z</dcterms:created>
  <dcterms:modified xsi:type="dcterms:W3CDTF">2017-11-27T14:34:00Z</dcterms:modified>
</cp:coreProperties>
</file>