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FC4B" w14:textId="44A9A082" w:rsidR="00CC5B1D" w:rsidRPr="00CC5B1D" w:rsidRDefault="00CC5B1D" w:rsidP="00CC5B1D">
      <w:pPr>
        <w:jc w:val="center"/>
        <w:rPr>
          <w:rFonts w:ascii="Arial" w:hAnsi="Arial" w:cs="Arial"/>
          <w:b/>
          <w:sz w:val="28"/>
          <w:szCs w:val="28"/>
        </w:rPr>
      </w:pPr>
      <w:r w:rsidRPr="00CC5B1D">
        <w:rPr>
          <w:rFonts w:ascii="Arial" w:hAnsi="Arial" w:cs="Arial"/>
          <w:b/>
          <w:sz w:val="28"/>
          <w:szCs w:val="28"/>
        </w:rPr>
        <w:t>Vypořádání připomínek k návrhu dokumentu Metodika analýz relevantních trhů</w:t>
      </w:r>
    </w:p>
    <w:tbl>
      <w:tblPr>
        <w:tblStyle w:val="Mkatabulky"/>
        <w:tblW w:w="0" w:type="auto"/>
        <w:tblLook w:val="04A0" w:firstRow="1" w:lastRow="0" w:firstColumn="1" w:lastColumn="0" w:noHBand="0" w:noVBand="1"/>
      </w:tblPr>
      <w:tblGrid>
        <w:gridCol w:w="1294"/>
        <w:gridCol w:w="1083"/>
        <w:gridCol w:w="5810"/>
        <w:gridCol w:w="5807"/>
      </w:tblGrid>
      <w:tr w:rsidR="00655785" w:rsidRPr="005B3003" w14:paraId="4E695FAD" w14:textId="77777777" w:rsidTr="009E1C7D">
        <w:tc>
          <w:tcPr>
            <w:tcW w:w="1294" w:type="dxa"/>
            <w:vAlign w:val="center"/>
          </w:tcPr>
          <w:p w14:paraId="6918D0E9" w14:textId="77777777" w:rsidR="005B3003" w:rsidRPr="005B3003" w:rsidRDefault="005B3003" w:rsidP="009E1C7D">
            <w:pPr>
              <w:rPr>
                <w:rFonts w:ascii="Arial" w:hAnsi="Arial" w:cs="Arial"/>
                <w:b/>
                <w:sz w:val="20"/>
                <w:szCs w:val="20"/>
              </w:rPr>
            </w:pPr>
            <w:r w:rsidRPr="005B3003">
              <w:rPr>
                <w:rFonts w:ascii="Arial" w:hAnsi="Arial" w:cs="Arial"/>
                <w:b/>
                <w:sz w:val="20"/>
                <w:szCs w:val="20"/>
              </w:rPr>
              <w:t>Číslo, autor připomínky</w:t>
            </w:r>
          </w:p>
        </w:tc>
        <w:tc>
          <w:tcPr>
            <w:tcW w:w="1083" w:type="dxa"/>
            <w:vAlign w:val="center"/>
          </w:tcPr>
          <w:p w14:paraId="78136693" w14:textId="77777777" w:rsidR="005B3003" w:rsidRPr="005B3003" w:rsidRDefault="005B3003" w:rsidP="009E1C7D">
            <w:pPr>
              <w:jc w:val="center"/>
              <w:rPr>
                <w:rFonts w:ascii="Arial" w:hAnsi="Arial" w:cs="Arial"/>
                <w:b/>
                <w:sz w:val="20"/>
                <w:szCs w:val="20"/>
              </w:rPr>
            </w:pPr>
            <w:r w:rsidRPr="005B3003">
              <w:rPr>
                <w:rFonts w:ascii="Arial" w:hAnsi="Arial" w:cs="Arial"/>
                <w:b/>
                <w:sz w:val="20"/>
                <w:szCs w:val="20"/>
              </w:rPr>
              <w:t>Kapitola Metodiky</w:t>
            </w:r>
          </w:p>
        </w:tc>
        <w:tc>
          <w:tcPr>
            <w:tcW w:w="5810" w:type="dxa"/>
            <w:vAlign w:val="center"/>
          </w:tcPr>
          <w:p w14:paraId="1B531B87" w14:textId="77777777" w:rsidR="005B3003" w:rsidRPr="005B3003" w:rsidRDefault="005B3003" w:rsidP="009E1C7D">
            <w:pPr>
              <w:jc w:val="center"/>
              <w:rPr>
                <w:rFonts w:ascii="Arial" w:hAnsi="Arial" w:cs="Arial"/>
                <w:b/>
                <w:sz w:val="20"/>
                <w:szCs w:val="20"/>
              </w:rPr>
            </w:pPr>
            <w:r w:rsidRPr="005B3003">
              <w:rPr>
                <w:rFonts w:ascii="Arial" w:hAnsi="Arial" w:cs="Arial"/>
                <w:b/>
                <w:sz w:val="20"/>
                <w:szCs w:val="20"/>
              </w:rPr>
              <w:t>Připomínka</w:t>
            </w:r>
          </w:p>
        </w:tc>
        <w:tc>
          <w:tcPr>
            <w:tcW w:w="5807" w:type="dxa"/>
            <w:vAlign w:val="center"/>
          </w:tcPr>
          <w:p w14:paraId="5E53C2E9" w14:textId="77777777" w:rsidR="005B3003" w:rsidRPr="005B3003" w:rsidRDefault="005B3003" w:rsidP="009E1C7D">
            <w:pPr>
              <w:jc w:val="center"/>
              <w:rPr>
                <w:rFonts w:ascii="Arial" w:hAnsi="Arial" w:cs="Arial"/>
                <w:b/>
                <w:sz w:val="20"/>
                <w:szCs w:val="20"/>
              </w:rPr>
            </w:pPr>
            <w:r w:rsidRPr="005B3003">
              <w:rPr>
                <w:rFonts w:ascii="Arial" w:hAnsi="Arial" w:cs="Arial"/>
                <w:b/>
                <w:sz w:val="20"/>
                <w:szCs w:val="20"/>
              </w:rPr>
              <w:t>Vypořádání</w:t>
            </w:r>
          </w:p>
        </w:tc>
      </w:tr>
      <w:tr w:rsidR="00655785" w:rsidRPr="005B3003" w14:paraId="77751015" w14:textId="77777777" w:rsidTr="00012DB6">
        <w:tc>
          <w:tcPr>
            <w:tcW w:w="1294" w:type="dxa"/>
          </w:tcPr>
          <w:p w14:paraId="7CC05F83" w14:textId="7B1D2816" w:rsidR="005B3003" w:rsidRDefault="00CC5B1D">
            <w:pPr>
              <w:rPr>
                <w:rFonts w:ascii="Arial" w:hAnsi="Arial" w:cs="Arial"/>
                <w:sz w:val="20"/>
                <w:szCs w:val="20"/>
              </w:rPr>
            </w:pPr>
            <w:r>
              <w:rPr>
                <w:rFonts w:ascii="Arial" w:hAnsi="Arial" w:cs="Arial"/>
                <w:sz w:val="20"/>
                <w:szCs w:val="20"/>
              </w:rPr>
              <w:t>CETIN</w:t>
            </w:r>
          </w:p>
          <w:p w14:paraId="3B88536E" w14:textId="2897CBCE" w:rsidR="00CC5B1D" w:rsidRPr="005B3003" w:rsidRDefault="00CC5B1D">
            <w:pPr>
              <w:rPr>
                <w:rFonts w:ascii="Arial" w:hAnsi="Arial" w:cs="Arial"/>
                <w:sz w:val="20"/>
                <w:szCs w:val="20"/>
              </w:rPr>
            </w:pPr>
            <w:r>
              <w:rPr>
                <w:rFonts w:ascii="Arial" w:hAnsi="Arial" w:cs="Arial"/>
                <w:sz w:val="20"/>
                <w:szCs w:val="20"/>
              </w:rPr>
              <w:t>(1)</w:t>
            </w:r>
          </w:p>
        </w:tc>
        <w:tc>
          <w:tcPr>
            <w:tcW w:w="1083" w:type="dxa"/>
          </w:tcPr>
          <w:p w14:paraId="77F565CB" w14:textId="77777777" w:rsidR="005B3003" w:rsidRDefault="005B3003">
            <w:pPr>
              <w:rPr>
                <w:rFonts w:ascii="Arial" w:hAnsi="Arial" w:cs="Arial"/>
                <w:sz w:val="20"/>
                <w:szCs w:val="20"/>
              </w:rPr>
            </w:pPr>
            <w:r w:rsidRPr="005B3003">
              <w:rPr>
                <w:rFonts w:ascii="Arial" w:hAnsi="Arial" w:cs="Arial"/>
                <w:sz w:val="20"/>
                <w:szCs w:val="20"/>
              </w:rPr>
              <w:t>3.2.2</w:t>
            </w:r>
          </w:p>
          <w:p w14:paraId="1C4F1DDA" w14:textId="77777777" w:rsidR="005B3003" w:rsidRPr="005B3003" w:rsidRDefault="005B3003">
            <w:pPr>
              <w:rPr>
                <w:rFonts w:ascii="Arial" w:hAnsi="Arial" w:cs="Arial"/>
                <w:sz w:val="20"/>
                <w:szCs w:val="20"/>
              </w:rPr>
            </w:pPr>
            <w:r w:rsidRPr="005B3003">
              <w:rPr>
                <w:rFonts w:ascii="Arial" w:hAnsi="Arial" w:cs="Arial"/>
                <w:sz w:val="20"/>
                <w:szCs w:val="20"/>
              </w:rPr>
              <w:t>5.2</w:t>
            </w:r>
          </w:p>
        </w:tc>
        <w:tc>
          <w:tcPr>
            <w:tcW w:w="5810" w:type="dxa"/>
          </w:tcPr>
          <w:p w14:paraId="2238E679" w14:textId="77777777" w:rsidR="005B3003" w:rsidRPr="005B3003" w:rsidRDefault="005B3003" w:rsidP="005B3003">
            <w:pPr>
              <w:jc w:val="both"/>
              <w:rPr>
                <w:rFonts w:ascii="Arial" w:hAnsi="Arial" w:cs="Arial"/>
                <w:sz w:val="20"/>
                <w:szCs w:val="20"/>
              </w:rPr>
            </w:pPr>
            <w:r w:rsidRPr="005B3003">
              <w:rPr>
                <w:rFonts w:ascii="Arial" w:hAnsi="Arial" w:cs="Arial"/>
                <w:sz w:val="20"/>
                <w:szCs w:val="20"/>
              </w:rPr>
              <w:t>Z textu není zřejmé, zda pro věcné vymezení a analýzu podřazeného maloobchodního trhu bude použitý stejný postup a uplatněná stejná kritéria, jako pro relevantní trhy. Považujeme za vhodné toto vyjasnit.</w:t>
            </w:r>
          </w:p>
        </w:tc>
        <w:tc>
          <w:tcPr>
            <w:tcW w:w="5807" w:type="dxa"/>
          </w:tcPr>
          <w:p w14:paraId="7BEE8539" w14:textId="4CF17F61" w:rsidR="004C5525" w:rsidRPr="00455D34" w:rsidRDefault="0057154A" w:rsidP="00012DB6">
            <w:pPr>
              <w:spacing w:after="120"/>
              <w:jc w:val="both"/>
              <w:rPr>
                <w:rFonts w:ascii="Arial" w:hAnsi="Arial" w:cs="Arial"/>
                <w:b/>
                <w:sz w:val="20"/>
                <w:szCs w:val="20"/>
              </w:rPr>
            </w:pPr>
            <w:r w:rsidRPr="00455D34">
              <w:rPr>
                <w:rFonts w:ascii="Arial" w:hAnsi="Arial" w:cs="Arial"/>
                <w:b/>
                <w:sz w:val="20"/>
                <w:szCs w:val="20"/>
              </w:rPr>
              <w:t>Vysvětleno</w:t>
            </w:r>
            <w:r w:rsidR="00D14A04">
              <w:rPr>
                <w:rFonts w:ascii="Arial" w:hAnsi="Arial" w:cs="Arial"/>
                <w:b/>
                <w:sz w:val="20"/>
                <w:szCs w:val="20"/>
              </w:rPr>
              <w:t>.</w:t>
            </w:r>
            <w:r w:rsidR="009E1C7D">
              <w:rPr>
                <w:rFonts w:ascii="Arial" w:hAnsi="Arial" w:cs="Arial"/>
                <w:b/>
                <w:sz w:val="20"/>
                <w:szCs w:val="20"/>
              </w:rPr>
              <w:t xml:space="preserve"> </w:t>
            </w:r>
          </w:p>
          <w:p w14:paraId="0879D0AC" w14:textId="2BC96AAE" w:rsidR="00EA4A55" w:rsidRDefault="00EA4A55" w:rsidP="00012DB6">
            <w:pPr>
              <w:spacing w:after="120"/>
              <w:jc w:val="both"/>
              <w:rPr>
                <w:rFonts w:ascii="Arial" w:hAnsi="Arial" w:cs="Arial"/>
                <w:sz w:val="20"/>
                <w:szCs w:val="20"/>
              </w:rPr>
            </w:pPr>
            <w:r>
              <w:rPr>
                <w:rFonts w:ascii="Arial" w:hAnsi="Arial" w:cs="Arial"/>
                <w:sz w:val="20"/>
                <w:szCs w:val="20"/>
              </w:rPr>
              <w:t xml:space="preserve">Úřad vymezí </w:t>
            </w:r>
            <w:r w:rsidR="00FE7597">
              <w:rPr>
                <w:rFonts w:ascii="Arial" w:hAnsi="Arial" w:cs="Arial"/>
                <w:sz w:val="20"/>
                <w:szCs w:val="20"/>
              </w:rPr>
              <w:t xml:space="preserve">podřazený </w:t>
            </w:r>
            <w:r>
              <w:rPr>
                <w:rFonts w:ascii="Arial" w:hAnsi="Arial" w:cs="Arial"/>
                <w:sz w:val="20"/>
                <w:szCs w:val="20"/>
              </w:rPr>
              <w:t xml:space="preserve">maloobchodní trh </w:t>
            </w:r>
            <w:r w:rsidR="00FE7597">
              <w:rPr>
                <w:rFonts w:ascii="Arial" w:hAnsi="Arial" w:cs="Arial"/>
                <w:sz w:val="20"/>
                <w:szCs w:val="20"/>
              </w:rPr>
              <w:t>v souladu s postupem a podle stejných kritérií jako v případě relevantního trhu dle kapitoly 3 metodiky</w:t>
            </w:r>
            <w:r>
              <w:rPr>
                <w:rFonts w:ascii="Arial" w:hAnsi="Arial" w:cs="Arial"/>
                <w:sz w:val="20"/>
                <w:szCs w:val="20"/>
              </w:rPr>
              <w:t>.</w:t>
            </w:r>
            <w:r w:rsidR="009E1C7D">
              <w:rPr>
                <w:rFonts w:ascii="Arial" w:hAnsi="Arial" w:cs="Arial"/>
                <w:sz w:val="20"/>
                <w:szCs w:val="20"/>
              </w:rPr>
              <w:t xml:space="preserve"> </w:t>
            </w:r>
          </w:p>
          <w:p w14:paraId="44471ECA" w14:textId="796246F4" w:rsidR="005B3003" w:rsidRPr="005B3003" w:rsidRDefault="00FE7597" w:rsidP="00E57F85">
            <w:pPr>
              <w:jc w:val="both"/>
              <w:rPr>
                <w:rFonts w:ascii="Arial" w:hAnsi="Arial" w:cs="Arial"/>
                <w:sz w:val="20"/>
                <w:szCs w:val="20"/>
              </w:rPr>
            </w:pPr>
            <w:r w:rsidRPr="004411F6">
              <w:rPr>
                <w:rFonts w:ascii="Arial" w:hAnsi="Arial" w:cs="Arial"/>
                <w:sz w:val="20"/>
                <w:szCs w:val="20"/>
              </w:rPr>
              <w:t>Na rozdíl od vymezení</w:t>
            </w:r>
            <w:r w:rsidR="00FF6DB3" w:rsidRPr="004411F6">
              <w:rPr>
                <w:rFonts w:ascii="Arial" w:hAnsi="Arial" w:cs="Arial"/>
                <w:sz w:val="20"/>
                <w:szCs w:val="20"/>
              </w:rPr>
              <w:t xml:space="preserve"> trhu</w:t>
            </w:r>
            <w:r w:rsidRPr="004411F6">
              <w:rPr>
                <w:rFonts w:ascii="Arial" w:hAnsi="Arial" w:cs="Arial"/>
                <w:sz w:val="20"/>
                <w:szCs w:val="20"/>
              </w:rPr>
              <w:t xml:space="preserve"> </w:t>
            </w:r>
            <w:r w:rsidR="00EA4A55" w:rsidRPr="004411F6">
              <w:rPr>
                <w:rFonts w:ascii="Arial" w:hAnsi="Arial" w:cs="Arial"/>
                <w:sz w:val="20"/>
                <w:szCs w:val="20"/>
              </w:rPr>
              <w:t>Úřad</w:t>
            </w:r>
            <w:r w:rsidR="00685FB1" w:rsidRPr="004411F6">
              <w:rPr>
                <w:rFonts w:ascii="Arial" w:hAnsi="Arial" w:cs="Arial"/>
                <w:sz w:val="20"/>
                <w:szCs w:val="20"/>
              </w:rPr>
              <w:t xml:space="preserve"> </w:t>
            </w:r>
            <w:r w:rsidRPr="004411F6">
              <w:rPr>
                <w:rFonts w:ascii="Arial" w:hAnsi="Arial" w:cs="Arial"/>
                <w:sz w:val="20"/>
                <w:szCs w:val="20"/>
              </w:rPr>
              <w:t>provede analýzu</w:t>
            </w:r>
            <w:r w:rsidRPr="00FA5506">
              <w:rPr>
                <w:rFonts w:ascii="Arial" w:hAnsi="Arial" w:cs="Arial"/>
                <w:sz w:val="20"/>
                <w:szCs w:val="20"/>
              </w:rPr>
              <w:t xml:space="preserve"> </w:t>
            </w:r>
            <w:r w:rsidR="00685FB1" w:rsidRPr="00FA5506">
              <w:rPr>
                <w:rFonts w:ascii="Arial" w:hAnsi="Arial" w:cs="Arial"/>
                <w:sz w:val="20"/>
                <w:szCs w:val="20"/>
              </w:rPr>
              <w:t>na základě principů a postupů uvedených zejména v kapitolách 5 a 6 metodiky</w:t>
            </w:r>
            <w:r w:rsidR="00EA4A55" w:rsidRPr="004411F6">
              <w:rPr>
                <w:rFonts w:ascii="Arial" w:hAnsi="Arial" w:cs="Arial"/>
                <w:sz w:val="20"/>
                <w:szCs w:val="20"/>
              </w:rPr>
              <w:t>. Úřad tak předejde příliš formálnímu postupu ve vztahu k maloobchodnímu trhu, když</w:t>
            </w:r>
            <w:r w:rsidR="00EA4A55">
              <w:rPr>
                <w:rFonts w:ascii="Arial" w:hAnsi="Arial" w:cs="Arial"/>
                <w:sz w:val="20"/>
                <w:szCs w:val="20"/>
              </w:rPr>
              <w:t xml:space="preserve"> pozornost by měla být zaměřena na trh velkoobchodní. </w:t>
            </w:r>
            <w:r>
              <w:rPr>
                <w:rFonts w:ascii="Arial" w:hAnsi="Arial" w:cs="Arial"/>
                <w:sz w:val="20"/>
                <w:szCs w:val="20"/>
              </w:rPr>
              <w:t xml:space="preserve">Tento přístup k analýze podřazeného maloobchodního trhu je uveden </w:t>
            </w:r>
            <w:r w:rsidR="007875BE">
              <w:rPr>
                <w:rFonts w:ascii="Arial" w:hAnsi="Arial" w:cs="Arial"/>
                <w:sz w:val="20"/>
                <w:szCs w:val="20"/>
              </w:rPr>
              <w:t>v kapitole 3.2.2</w:t>
            </w:r>
            <w:r w:rsidR="00554C65">
              <w:rPr>
                <w:rFonts w:ascii="Arial" w:hAnsi="Arial" w:cs="Arial"/>
                <w:sz w:val="20"/>
                <w:szCs w:val="20"/>
              </w:rPr>
              <w:t xml:space="preserve"> </w:t>
            </w:r>
            <w:r w:rsidR="007875BE">
              <w:rPr>
                <w:rFonts w:ascii="Arial" w:hAnsi="Arial" w:cs="Arial"/>
                <w:sz w:val="20"/>
                <w:szCs w:val="20"/>
              </w:rPr>
              <w:t xml:space="preserve">(řádky </w:t>
            </w:r>
            <w:r w:rsidR="00554C65">
              <w:rPr>
                <w:rFonts w:ascii="Arial" w:hAnsi="Arial" w:cs="Arial"/>
                <w:sz w:val="20"/>
                <w:szCs w:val="20"/>
              </w:rPr>
              <w:t>159-161</w:t>
            </w:r>
            <w:r w:rsidR="007875BE">
              <w:rPr>
                <w:rFonts w:ascii="Arial" w:hAnsi="Arial" w:cs="Arial"/>
                <w:sz w:val="20"/>
                <w:szCs w:val="20"/>
              </w:rPr>
              <w:t>)</w:t>
            </w:r>
            <w:r>
              <w:rPr>
                <w:rFonts w:ascii="Arial" w:hAnsi="Arial" w:cs="Arial"/>
                <w:sz w:val="20"/>
                <w:szCs w:val="20"/>
              </w:rPr>
              <w:t>, kde se</w:t>
            </w:r>
            <w:r w:rsidR="00554C65">
              <w:rPr>
                <w:rFonts w:ascii="Arial" w:hAnsi="Arial" w:cs="Arial"/>
                <w:sz w:val="20"/>
                <w:szCs w:val="20"/>
              </w:rPr>
              <w:t xml:space="preserve"> stanoví: „</w:t>
            </w:r>
            <w:r w:rsidR="00554C65" w:rsidRPr="00012DB6">
              <w:rPr>
                <w:rFonts w:ascii="Arial" w:hAnsi="Arial"/>
                <w:i/>
                <w:sz w:val="20"/>
              </w:rPr>
              <w:t>Pokud není daný maloobchodní trh efektivně konkurenční při neuplatnění ex ante regulace, Úřad na základě principů a postupů použitých při analýze relevantního trhu, které jsou popsány v následujících kapitolách této Metodiky, zhodnotí, zda daný trh připadá do úvahy pro ex ante regulaci</w:t>
            </w:r>
            <w:r w:rsidR="00554C65" w:rsidRPr="00E57F85">
              <w:rPr>
                <w:rFonts w:ascii="Arial" w:hAnsi="Arial" w:cs="Arial"/>
                <w:sz w:val="20"/>
                <w:szCs w:val="20"/>
              </w:rPr>
              <w:t>.</w:t>
            </w:r>
            <w:r w:rsidR="007875BE" w:rsidRPr="00E57F85">
              <w:rPr>
                <w:rFonts w:ascii="Arial" w:hAnsi="Arial" w:cs="Arial"/>
                <w:sz w:val="20"/>
                <w:szCs w:val="20"/>
              </w:rPr>
              <w:t>“ Toto se uplatní také pro</w:t>
            </w:r>
            <w:r w:rsidR="007875BE">
              <w:rPr>
                <w:rFonts w:ascii="Arial" w:hAnsi="Arial" w:cs="Arial"/>
                <w:sz w:val="20"/>
                <w:szCs w:val="20"/>
              </w:rPr>
              <w:t xml:space="preserve"> analýzu relevantního trhu podle kapitoly 5.2 metodiky.</w:t>
            </w:r>
            <w:r w:rsidR="009E1C7D">
              <w:rPr>
                <w:rFonts w:ascii="Arial" w:hAnsi="Arial" w:cs="Arial"/>
                <w:sz w:val="20"/>
                <w:szCs w:val="20"/>
              </w:rPr>
              <w:t xml:space="preserve"> </w:t>
            </w:r>
          </w:p>
        </w:tc>
      </w:tr>
      <w:tr w:rsidR="00655785" w:rsidRPr="005B3003" w14:paraId="41CC7149" w14:textId="77777777" w:rsidTr="00012DB6">
        <w:tc>
          <w:tcPr>
            <w:tcW w:w="1294" w:type="dxa"/>
          </w:tcPr>
          <w:p w14:paraId="59359E3F" w14:textId="379FB124" w:rsidR="005B3003" w:rsidRDefault="00CC5B1D">
            <w:pPr>
              <w:rPr>
                <w:rFonts w:ascii="Arial" w:hAnsi="Arial" w:cs="Arial"/>
                <w:sz w:val="20"/>
                <w:szCs w:val="20"/>
              </w:rPr>
            </w:pPr>
            <w:r>
              <w:rPr>
                <w:rFonts w:ascii="Arial" w:hAnsi="Arial" w:cs="Arial"/>
                <w:sz w:val="20"/>
                <w:szCs w:val="20"/>
              </w:rPr>
              <w:t>CETIN</w:t>
            </w:r>
          </w:p>
          <w:p w14:paraId="60F6FAA0" w14:textId="46D6C065" w:rsidR="00CC5B1D" w:rsidRPr="005B3003" w:rsidRDefault="00CC5B1D">
            <w:pPr>
              <w:rPr>
                <w:rFonts w:ascii="Arial" w:hAnsi="Arial" w:cs="Arial"/>
                <w:sz w:val="20"/>
                <w:szCs w:val="20"/>
              </w:rPr>
            </w:pPr>
            <w:r>
              <w:rPr>
                <w:rFonts w:ascii="Arial" w:hAnsi="Arial" w:cs="Arial"/>
                <w:sz w:val="20"/>
                <w:szCs w:val="20"/>
              </w:rPr>
              <w:t>(2)</w:t>
            </w:r>
          </w:p>
        </w:tc>
        <w:tc>
          <w:tcPr>
            <w:tcW w:w="1083" w:type="dxa"/>
          </w:tcPr>
          <w:p w14:paraId="7DF9B5D8" w14:textId="77777777" w:rsidR="005B3003" w:rsidRPr="005B3003" w:rsidRDefault="005B3003">
            <w:pPr>
              <w:rPr>
                <w:rFonts w:ascii="Arial" w:hAnsi="Arial" w:cs="Arial"/>
                <w:sz w:val="20"/>
                <w:szCs w:val="20"/>
              </w:rPr>
            </w:pPr>
            <w:r w:rsidRPr="005B3003">
              <w:rPr>
                <w:rFonts w:ascii="Arial" w:hAnsi="Arial" w:cs="Arial"/>
                <w:sz w:val="20"/>
                <w:szCs w:val="20"/>
              </w:rPr>
              <w:t>3.2.3.1</w:t>
            </w:r>
          </w:p>
        </w:tc>
        <w:tc>
          <w:tcPr>
            <w:tcW w:w="5810" w:type="dxa"/>
          </w:tcPr>
          <w:p w14:paraId="6FC22AFC" w14:textId="77777777" w:rsidR="005B3003" w:rsidRPr="005B3003" w:rsidRDefault="005B3003" w:rsidP="005B3003">
            <w:pPr>
              <w:jc w:val="both"/>
              <w:rPr>
                <w:rFonts w:ascii="Arial" w:hAnsi="Arial" w:cs="Arial"/>
                <w:sz w:val="20"/>
                <w:szCs w:val="20"/>
              </w:rPr>
            </w:pPr>
            <w:r w:rsidRPr="005B3003">
              <w:rPr>
                <w:rFonts w:ascii="Arial" w:hAnsi="Arial" w:cs="Arial"/>
                <w:sz w:val="20"/>
                <w:szCs w:val="20"/>
              </w:rPr>
              <w:t>Ve společných kritériích pro vymezení trhu z pohledu věcného, územního i časového hlediska je mezi vyjmenovanými objektivními vlastnostmi jednotlivých služeb a jejich zamýšleným využití mimo jiné uvedena latence. Na základě jakých podkladů zamýšlí Úřad tuto vlastnost služby posuzovat? Domníváme se, že v rámci posuzování objektivních vlastností služeb a výrobků by měly být zohledněny především ty, které jsou určující pro rozhodování spotřebitelů. Navrhujeme proto do závorky za textem na ř. 193 uvést „(s ohledem na jejich důležitost pro rozhodování uživatelů)“.</w:t>
            </w:r>
          </w:p>
        </w:tc>
        <w:tc>
          <w:tcPr>
            <w:tcW w:w="5807" w:type="dxa"/>
          </w:tcPr>
          <w:p w14:paraId="06F7E7C8" w14:textId="77777777" w:rsidR="005B3003" w:rsidRPr="003D5C89" w:rsidRDefault="00FE7597" w:rsidP="00012DB6">
            <w:pPr>
              <w:spacing w:after="120"/>
              <w:jc w:val="both"/>
              <w:rPr>
                <w:rFonts w:ascii="Arial" w:hAnsi="Arial" w:cs="Arial"/>
                <w:b/>
                <w:sz w:val="20"/>
                <w:szCs w:val="20"/>
              </w:rPr>
            </w:pPr>
            <w:r w:rsidRPr="003D5C89">
              <w:rPr>
                <w:rFonts w:ascii="Arial" w:hAnsi="Arial" w:cs="Arial"/>
                <w:b/>
                <w:sz w:val="20"/>
                <w:szCs w:val="20"/>
              </w:rPr>
              <w:t xml:space="preserve">Částečně akceptováno. </w:t>
            </w:r>
          </w:p>
          <w:p w14:paraId="6F839C39" w14:textId="55BB6B4E" w:rsidR="00FE7597" w:rsidRDefault="00FE7597" w:rsidP="00012DB6">
            <w:pPr>
              <w:spacing w:after="120"/>
              <w:jc w:val="both"/>
              <w:rPr>
                <w:rFonts w:ascii="Arial" w:hAnsi="Arial" w:cs="Arial"/>
                <w:sz w:val="20"/>
                <w:szCs w:val="20"/>
              </w:rPr>
            </w:pPr>
            <w:r>
              <w:rPr>
                <w:rFonts w:ascii="Arial" w:hAnsi="Arial" w:cs="Arial"/>
                <w:sz w:val="20"/>
                <w:szCs w:val="20"/>
              </w:rPr>
              <w:t xml:space="preserve">Postup a způsob sběru dat a podkladů pro vyhodnocení jednotlivých kritérií není obsahem této metodiky. Ve vztahu k latenci může Úřad uspořádat </w:t>
            </w:r>
            <w:r>
              <w:rPr>
                <w:rFonts w:ascii="Arial" w:hAnsi="Arial" w:cs="Arial"/>
                <w:i/>
                <w:sz w:val="20"/>
                <w:szCs w:val="20"/>
              </w:rPr>
              <w:t xml:space="preserve">ad hoc </w:t>
            </w:r>
            <w:r>
              <w:rPr>
                <w:rFonts w:ascii="Arial" w:hAnsi="Arial" w:cs="Arial"/>
                <w:sz w:val="20"/>
                <w:szCs w:val="20"/>
              </w:rPr>
              <w:t>sběr údajů</w:t>
            </w:r>
            <w:r w:rsidR="004C14CB">
              <w:rPr>
                <w:rFonts w:ascii="Arial" w:hAnsi="Arial" w:cs="Arial"/>
                <w:sz w:val="20"/>
                <w:szCs w:val="20"/>
              </w:rPr>
              <w:t>, pokud toto nebude přímo vyplývat ze základní charakteristiky dané služby</w:t>
            </w:r>
            <w:r>
              <w:rPr>
                <w:rFonts w:ascii="Arial" w:hAnsi="Arial" w:cs="Arial"/>
                <w:sz w:val="20"/>
                <w:szCs w:val="20"/>
              </w:rPr>
              <w:t>.</w:t>
            </w:r>
            <w:r w:rsidR="009E1C7D">
              <w:rPr>
                <w:rFonts w:ascii="Arial" w:hAnsi="Arial" w:cs="Arial"/>
                <w:sz w:val="20"/>
                <w:szCs w:val="20"/>
              </w:rPr>
              <w:t xml:space="preserve"> </w:t>
            </w:r>
          </w:p>
          <w:p w14:paraId="270D3C3B" w14:textId="1BD906ED" w:rsidR="001A58B7" w:rsidRPr="005B3003" w:rsidRDefault="00FE7597">
            <w:pPr>
              <w:jc w:val="both"/>
              <w:rPr>
                <w:rFonts w:ascii="Arial" w:hAnsi="Arial" w:cs="Arial"/>
                <w:sz w:val="20"/>
                <w:szCs w:val="20"/>
              </w:rPr>
            </w:pPr>
            <w:r>
              <w:rPr>
                <w:rFonts w:ascii="Arial" w:hAnsi="Arial" w:cs="Arial"/>
                <w:sz w:val="20"/>
                <w:szCs w:val="20"/>
              </w:rPr>
              <w:t xml:space="preserve">Úřad souhlasí, že </w:t>
            </w:r>
            <w:r w:rsidR="00D5569B">
              <w:rPr>
                <w:rFonts w:ascii="Arial" w:hAnsi="Arial" w:cs="Arial"/>
                <w:sz w:val="20"/>
                <w:szCs w:val="20"/>
              </w:rPr>
              <w:t xml:space="preserve">při vyhodnocování </w:t>
            </w:r>
            <w:r>
              <w:rPr>
                <w:rFonts w:ascii="Arial" w:hAnsi="Arial" w:cs="Arial"/>
                <w:sz w:val="20"/>
                <w:szCs w:val="20"/>
              </w:rPr>
              <w:t>kritéri</w:t>
            </w:r>
            <w:r w:rsidR="00D5569B">
              <w:rPr>
                <w:rFonts w:ascii="Arial" w:hAnsi="Arial" w:cs="Arial"/>
                <w:sz w:val="20"/>
                <w:szCs w:val="20"/>
              </w:rPr>
              <w:t>a</w:t>
            </w:r>
            <w:r>
              <w:rPr>
                <w:rFonts w:ascii="Arial" w:hAnsi="Arial" w:cs="Arial"/>
                <w:sz w:val="20"/>
                <w:szCs w:val="20"/>
              </w:rPr>
              <w:t xml:space="preserve"> latence </w:t>
            </w:r>
            <w:r w:rsidR="00D5569B">
              <w:rPr>
                <w:rFonts w:ascii="Arial" w:hAnsi="Arial" w:cs="Arial"/>
                <w:sz w:val="20"/>
                <w:szCs w:val="20"/>
              </w:rPr>
              <w:t>je třeba přihlédnout i k důležitosti tohoto kritéria</w:t>
            </w:r>
            <w:r>
              <w:rPr>
                <w:rFonts w:ascii="Arial" w:hAnsi="Arial" w:cs="Arial"/>
                <w:sz w:val="20"/>
                <w:szCs w:val="20"/>
              </w:rPr>
              <w:t xml:space="preserve"> pro rozhodování spotřebitelů</w:t>
            </w:r>
            <w:r w:rsidR="00D5569B">
              <w:rPr>
                <w:rFonts w:ascii="Arial" w:hAnsi="Arial" w:cs="Arial"/>
                <w:sz w:val="20"/>
                <w:szCs w:val="20"/>
              </w:rPr>
              <w:t>.</w:t>
            </w:r>
            <w:r>
              <w:rPr>
                <w:rFonts w:ascii="Arial" w:hAnsi="Arial" w:cs="Arial"/>
                <w:sz w:val="20"/>
                <w:szCs w:val="20"/>
              </w:rPr>
              <w:t xml:space="preserve"> </w:t>
            </w:r>
            <w:r w:rsidR="00D5569B">
              <w:rPr>
                <w:rFonts w:ascii="Arial" w:hAnsi="Arial" w:cs="Arial"/>
                <w:sz w:val="20"/>
                <w:szCs w:val="20"/>
              </w:rPr>
              <w:t>N</w:t>
            </w:r>
            <w:r>
              <w:rPr>
                <w:rFonts w:ascii="Arial" w:hAnsi="Arial" w:cs="Arial"/>
                <w:sz w:val="20"/>
                <w:szCs w:val="20"/>
              </w:rPr>
              <w:t>a základě toho</w:t>
            </w:r>
            <w:r w:rsidR="00BE7BAE">
              <w:rPr>
                <w:rFonts w:ascii="Arial" w:hAnsi="Arial" w:cs="Arial"/>
                <w:sz w:val="20"/>
                <w:szCs w:val="20"/>
              </w:rPr>
              <w:t>to</w:t>
            </w:r>
            <w:r>
              <w:rPr>
                <w:rFonts w:ascii="Arial" w:hAnsi="Arial" w:cs="Arial"/>
                <w:sz w:val="20"/>
                <w:szCs w:val="20"/>
              </w:rPr>
              <w:t xml:space="preserve"> v částečně modifikované podobě upravil </w:t>
            </w:r>
            <w:r w:rsidR="00D5569B">
              <w:rPr>
                <w:rFonts w:ascii="Arial" w:hAnsi="Arial" w:cs="Arial"/>
                <w:sz w:val="20"/>
                <w:szCs w:val="20"/>
              </w:rPr>
              <w:t xml:space="preserve">Úřad </w:t>
            </w:r>
            <w:r>
              <w:rPr>
                <w:rFonts w:ascii="Arial" w:hAnsi="Arial" w:cs="Arial"/>
                <w:sz w:val="20"/>
                <w:szCs w:val="20"/>
              </w:rPr>
              <w:t xml:space="preserve">znění metodiky. </w:t>
            </w:r>
            <w:r w:rsidR="00E57F85">
              <w:rPr>
                <w:rFonts w:ascii="Arial" w:hAnsi="Arial" w:cs="Arial"/>
                <w:sz w:val="20"/>
                <w:szCs w:val="20"/>
              </w:rPr>
              <w:t>O</w:t>
            </w:r>
            <w:r w:rsidR="001A58B7">
              <w:rPr>
                <w:rFonts w:ascii="Arial" w:hAnsi="Arial" w:cs="Arial"/>
                <w:sz w:val="20"/>
                <w:szCs w:val="20"/>
              </w:rPr>
              <w:t xml:space="preserve">bjektivní </w:t>
            </w:r>
            <w:r w:rsidR="00E57F85">
              <w:rPr>
                <w:rFonts w:ascii="Arial" w:hAnsi="Arial" w:cs="Arial"/>
                <w:sz w:val="20"/>
                <w:szCs w:val="20"/>
              </w:rPr>
              <w:t xml:space="preserve">vlastnosti služeb </w:t>
            </w:r>
            <w:r w:rsidR="001A58B7">
              <w:rPr>
                <w:rFonts w:ascii="Arial" w:hAnsi="Arial" w:cs="Arial"/>
                <w:sz w:val="20"/>
                <w:szCs w:val="20"/>
              </w:rPr>
              <w:t>se</w:t>
            </w:r>
            <w:r w:rsidR="00E57F85">
              <w:rPr>
                <w:rFonts w:ascii="Arial" w:hAnsi="Arial" w:cs="Arial"/>
                <w:sz w:val="20"/>
                <w:szCs w:val="20"/>
              </w:rPr>
              <w:t xml:space="preserve"> ovšem</w:t>
            </w:r>
            <w:r w:rsidR="001A58B7">
              <w:rPr>
                <w:rFonts w:ascii="Arial" w:hAnsi="Arial" w:cs="Arial"/>
                <w:sz w:val="20"/>
                <w:szCs w:val="20"/>
              </w:rPr>
              <w:t xml:space="preserve"> použijí také pro posouzení zastupitelnosti na straně nabídky. V takovém případě jsou kritéria důležitá</w:t>
            </w:r>
            <w:r w:rsidR="00E57F85">
              <w:rPr>
                <w:rFonts w:ascii="Arial" w:hAnsi="Arial" w:cs="Arial"/>
                <w:sz w:val="20"/>
                <w:szCs w:val="20"/>
              </w:rPr>
              <w:t xml:space="preserve"> také</w:t>
            </w:r>
            <w:r w:rsidR="001A58B7">
              <w:rPr>
                <w:rFonts w:ascii="Arial" w:hAnsi="Arial" w:cs="Arial"/>
                <w:sz w:val="20"/>
                <w:szCs w:val="20"/>
              </w:rPr>
              <w:t xml:space="preserve"> z pohledu poskytovatelů služby, </w:t>
            </w:r>
            <w:r w:rsidR="00E57F85">
              <w:rPr>
                <w:rFonts w:ascii="Arial" w:hAnsi="Arial" w:cs="Arial"/>
                <w:sz w:val="20"/>
                <w:szCs w:val="20"/>
              </w:rPr>
              <w:t xml:space="preserve">nejen </w:t>
            </w:r>
            <w:r w:rsidR="001A58B7">
              <w:rPr>
                <w:rFonts w:ascii="Arial" w:hAnsi="Arial" w:cs="Arial"/>
                <w:sz w:val="20"/>
                <w:szCs w:val="20"/>
              </w:rPr>
              <w:t>uživatelů.</w:t>
            </w:r>
            <w:r w:rsidR="009E1C7D">
              <w:rPr>
                <w:rFonts w:ascii="Arial" w:hAnsi="Arial" w:cs="Arial"/>
                <w:sz w:val="20"/>
                <w:szCs w:val="20"/>
              </w:rPr>
              <w:t xml:space="preserve"> </w:t>
            </w:r>
          </w:p>
        </w:tc>
      </w:tr>
      <w:tr w:rsidR="00655785" w:rsidRPr="005B3003" w14:paraId="2EFA0B5F" w14:textId="77777777" w:rsidTr="00012DB6">
        <w:tc>
          <w:tcPr>
            <w:tcW w:w="1294" w:type="dxa"/>
          </w:tcPr>
          <w:p w14:paraId="045B92BD" w14:textId="741811A4" w:rsidR="00CC5B1D" w:rsidRDefault="005B3003">
            <w:pPr>
              <w:rPr>
                <w:rFonts w:ascii="Arial" w:hAnsi="Arial" w:cs="Arial"/>
                <w:sz w:val="20"/>
                <w:szCs w:val="20"/>
              </w:rPr>
            </w:pPr>
            <w:r>
              <w:rPr>
                <w:rFonts w:ascii="Arial" w:hAnsi="Arial" w:cs="Arial"/>
                <w:sz w:val="20"/>
                <w:szCs w:val="20"/>
              </w:rPr>
              <w:t>CETIN</w:t>
            </w:r>
          </w:p>
          <w:p w14:paraId="5B22CCCB" w14:textId="065E8B71" w:rsidR="005B3003" w:rsidRPr="005B3003" w:rsidRDefault="00CC5B1D">
            <w:pPr>
              <w:rPr>
                <w:rFonts w:ascii="Arial" w:hAnsi="Arial" w:cs="Arial"/>
                <w:sz w:val="20"/>
                <w:szCs w:val="20"/>
              </w:rPr>
            </w:pPr>
            <w:r>
              <w:rPr>
                <w:rFonts w:ascii="Arial" w:hAnsi="Arial" w:cs="Arial"/>
                <w:sz w:val="20"/>
                <w:szCs w:val="20"/>
              </w:rPr>
              <w:t>(3)</w:t>
            </w:r>
            <w:r w:rsidR="005B3003">
              <w:rPr>
                <w:rFonts w:ascii="Arial" w:hAnsi="Arial" w:cs="Arial"/>
                <w:sz w:val="20"/>
                <w:szCs w:val="20"/>
              </w:rPr>
              <w:t xml:space="preserve"> </w:t>
            </w:r>
          </w:p>
        </w:tc>
        <w:tc>
          <w:tcPr>
            <w:tcW w:w="1083" w:type="dxa"/>
          </w:tcPr>
          <w:p w14:paraId="61176854" w14:textId="77777777" w:rsidR="005B3003" w:rsidRPr="005B3003" w:rsidRDefault="005B3003">
            <w:pPr>
              <w:rPr>
                <w:rFonts w:ascii="Arial" w:hAnsi="Arial" w:cs="Arial"/>
                <w:sz w:val="20"/>
                <w:szCs w:val="20"/>
              </w:rPr>
            </w:pPr>
            <w:r w:rsidRPr="005B3003">
              <w:rPr>
                <w:rFonts w:ascii="Arial" w:hAnsi="Arial" w:cs="Arial"/>
                <w:sz w:val="20"/>
                <w:szCs w:val="20"/>
              </w:rPr>
              <w:t>3.3.1</w:t>
            </w:r>
          </w:p>
        </w:tc>
        <w:tc>
          <w:tcPr>
            <w:tcW w:w="5810" w:type="dxa"/>
          </w:tcPr>
          <w:p w14:paraId="5A0A3D86" w14:textId="77777777" w:rsidR="005B3003" w:rsidRPr="005B3003" w:rsidRDefault="005B3003" w:rsidP="005B3003">
            <w:pPr>
              <w:jc w:val="both"/>
              <w:rPr>
                <w:rFonts w:ascii="Arial" w:hAnsi="Arial" w:cs="Arial"/>
                <w:sz w:val="20"/>
                <w:szCs w:val="20"/>
              </w:rPr>
            </w:pPr>
            <w:r w:rsidRPr="005B3003">
              <w:rPr>
                <w:rFonts w:ascii="Arial" w:hAnsi="Arial" w:cs="Arial"/>
                <w:sz w:val="20"/>
                <w:szCs w:val="20"/>
              </w:rPr>
              <w:t xml:space="preserve">Úřad definuje test pro posouzení nepřímých vlivů pro zahrnutí alternativních platforem na velkoobchodní relevantní trh doslovně v souladu s Vysvětlující zprávou (SWD(2014) 298). Domníváme se, že by bylo vhodné test přizpůsobit podmínkám na českém trhu, kde působí CETIN jako čistě velkoobchodní poskytovatel, zejména co se týče bodu </w:t>
            </w:r>
            <w:proofErr w:type="spellStart"/>
            <w:r w:rsidRPr="005B3003">
              <w:rPr>
                <w:rFonts w:ascii="Arial" w:hAnsi="Arial" w:cs="Arial"/>
                <w:sz w:val="20"/>
                <w:szCs w:val="20"/>
              </w:rPr>
              <w:t>iii</w:t>
            </w:r>
            <w:proofErr w:type="spellEnd"/>
            <w:r w:rsidRPr="005B3003">
              <w:rPr>
                <w:rFonts w:ascii="Arial" w:hAnsi="Arial" w:cs="Arial"/>
                <w:sz w:val="20"/>
                <w:szCs w:val="20"/>
              </w:rPr>
              <w:t>).</w:t>
            </w:r>
          </w:p>
        </w:tc>
        <w:tc>
          <w:tcPr>
            <w:tcW w:w="5807" w:type="dxa"/>
          </w:tcPr>
          <w:p w14:paraId="55E723CE" w14:textId="77777777" w:rsidR="00E70444" w:rsidRDefault="00995CC6" w:rsidP="00012DB6">
            <w:pPr>
              <w:spacing w:after="120"/>
              <w:jc w:val="both"/>
              <w:rPr>
                <w:rFonts w:ascii="Arial" w:hAnsi="Arial" w:cs="Arial"/>
                <w:sz w:val="20"/>
                <w:szCs w:val="20"/>
              </w:rPr>
            </w:pPr>
            <w:r w:rsidRPr="00995CC6">
              <w:rPr>
                <w:rFonts w:ascii="Arial" w:hAnsi="Arial" w:cs="Arial"/>
                <w:b/>
                <w:sz w:val="20"/>
                <w:szCs w:val="20"/>
              </w:rPr>
              <w:t>Neakceptováno</w:t>
            </w:r>
            <w:r w:rsidR="00BE7BAE">
              <w:rPr>
                <w:rFonts w:ascii="Arial" w:hAnsi="Arial" w:cs="Arial"/>
                <w:sz w:val="20"/>
                <w:szCs w:val="20"/>
              </w:rPr>
              <w:t>.</w:t>
            </w:r>
          </w:p>
          <w:p w14:paraId="1F5585C8" w14:textId="363F9795" w:rsidR="009E71A3" w:rsidRPr="005B3003" w:rsidRDefault="009E71A3" w:rsidP="00565BFB">
            <w:pPr>
              <w:jc w:val="both"/>
              <w:rPr>
                <w:rFonts w:ascii="Arial" w:hAnsi="Arial" w:cs="Arial"/>
                <w:sz w:val="20"/>
                <w:szCs w:val="20"/>
              </w:rPr>
            </w:pPr>
            <w:r>
              <w:rPr>
                <w:rFonts w:ascii="Arial" w:hAnsi="Arial" w:cs="Arial"/>
                <w:sz w:val="20"/>
                <w:szCs w:val="20"/>
              </w:rPr>
              <w:t xml:space="preserve">Test je </w:t>
            </w:r>
            <w:r w:rsidR="009B2904">
              <w:rPr>
                <w:rFonts w:ascii="Arial" w:hAnsi="Arial" w:cs="Arial"/>
                <w:sz w:val="20"/>
                <w:szCs w:val="20"/>
              </w:rPr>
              <w:t xml:space="preserve">univerzálně </w:t>
            </w:r>
            <w:r>
              <w:rPr>
                <w:rFonts w:ascii="Arial" w:hAnsi="Arial" w:cs="Arial"/>
                <w:sz w:val="20"/>
                <w:szCs w:val="20"/>
              </w:rPr>
              <w:t xml:space="preserve">aplikovatelný bez ohledu na to, </w:t>
            </w:r>
            <w:r w:rsidR="00565BFB">
              <w:rPr>
                <w:rFonts w:ascii="Arial" w:hAnsi="Arial" w:cs="Arial"/>
                <w:sz w:val="20"/>
                <w:szCs w:val="20"/>
              </w:rPr>
              <w:t>které subjekty na</w:t>
            </w:r>
            <w:r>
              <w:rPr>
                <w:rFonts w:ascii="Arial" w:hAnsi="Arial" w:cs="Arial"/>
                <w:sz w:val="20"/>
                <w:szCs w:val="20"/>
              </w:rPr>
              <w:t xml:space="preserve"> </w:t>
            </w:r>
            <w:r w:rsidR="00565BFB">
              <w:rPr>
                <w:rFonts w:ascii="Arial" w:hAnsi="Arial" w:cs="Arial"/>
                <w:sz w:val="20"/>
                <w:szCs w:val="20"/>
              </w:rPr>
              <w:t>některém</w:t>
            </w:r>
            <w:r>
              <w:rPr>
                <w:rFonts w:ascii="Arial" w:hAnsi="Arial" w:cs="Arial"/>
                <w:sz w:val="20"/>
                <w:szCs w:val="20"/>
              </w:rPr>
              <w:t xml:space="preserve"> trhu </w:t>
            </w:r>
            <w:r w:rsidR="00565BFB">
              <w:rPr>
                <w:rFonts w:ascii="Arial" w:hAnsi="Arial" w:cs="Arial"/>
                <w:sz w:val="20"/>
                <w:szCs w:val="20"/>
              </w:rPr>
              <w:t>působí nebo své působení v budoucnu zahájí</w:t>
            </w:r>
            <w:r>
              <w:rPr>
                <w:rFonts w:ascii="Arial" w:hAnsi="Arial" w:cs="Arial"/>
                <w:sz w:val="20"/>
                <w:szCs w:val="20"/>
              </w:rPr>
              <w:t>.</w:t>
            </w:r>
            <w:r w:rsidR="009E1C7D">
              <w:rPr>
                <w:rFonts w:ascii="Arial" w:hAnsi="Arial" w:cs="Arial"/>
                <w:sz w:val="20"/>
                <w:szCs w:val="20"/>
              </w:rPr>
              <w:t xml:space="preserve"> </w:t>
            </w:r>
          </w:p>
        </w:tc>
      </w:tr>
      <w:tr w:rsidR="00655785" w:rsidRPr="005B3003" w14:paraId="53F8FDE9" w14:textId="77777777" w:rsidTr="00012DB6">
        <w:tc>
          <w:tcPr>
            <w:tcW w:w="1294" w:type="dxa"/>
          </w:tcPr>
          <w:p w14:paraId="5A69A521" w14:textId="193F7878" w:rsidR="00CC5B1D" w:rsidRDefault="005B3003">
            <w:pPr>
              <w:rPr>
                <w:rFonts w:ascii="Arial" w:hAnsi="Arial" w:cs="Arial"/>
                <w:sz w:val="20"/>
                <w:szCs w:val="20"/>
              </w:rPr>
            </w:pPr>
            <w:r>
              <w:rPr>
                <w:rFonts w:ascii="Arial" w:hAnsi="Arial" w:cs="Arial"/>
                <w:sz w:val="20"/>
                <w:szCs w:val="20"/>
              </w:rPr>
              <w:t>CETIN</w:t>
            </w:r>
          </w:p>
          <w:p w14:paraId="4992FA74" w14:textId="2FEFAFFE" w:rsidR="005B3003" w:rsidRPr="005B3003" w:rsidRDefault="00CC5B1D">
            <w:pPr>
              <w:rPr>
                <w:rFonts w:ascii="Arial" w:hAnsi="Arial" w:cs="Arial"/>
                <w:sz w:val="20"/>
                <w:szCs w:val="20"/>
              </w:rPr>
            </w:pPr>
            <w:r>
              <w:rPr>
                <w:rFonts w:ascii="Arial" w:hAnsi="Arial" w:cs="Arial"/>
                <w:sz w:val="20"/>
                <w:szCs w:val="20"/>
              </w:rPr>
              <w:t>(4)</w:t>
            </w:r>
            <w:r w:rsidR="005B3003">
              <w:rPr>
                <w:rFonts w:ascii="Arial" w:hAnsi="Arial" w:cs="Arial"/>
                <w:sz w:val="20"/>
                <w:szCs w:val="20"/>
              </w:rPr>
              <w:t xml:space="preserve"> </w:t>
            </w:r>
          </w:p>
        </w:tc>
        <w:tc>
          <w:tcPr>
            <w:tcW w:w="1083" w:type="dxa"/>
          </w:tcPr>
          <w:p w14:paraId="269EFDCC" w14:textId="77777777" w:rsidR="005B3003" w:rsidRPr="005B3003" w:rsidRDefault="005B3003">
            <w:pPr>
              <w:rPr>
                <w:rFonts w:ascii="Arial" w:hAnsi="Arial" w:cs="Arial"/>
                <w:sz w:val="20"/>
                <w:szCs w:val="20"/>
              </w:rPr>
            </w:pPr>
            <w:r w:rsidRPr="005B3003">
              <w:rPr>
                <w:rFonts w:ascii="Arial" w:hAnsi="Arial" w:cs="Arial"/>
                <w:sz w:val="20"/>
                <w:szCs w:val="20"/>
              </w:rPr>
              <w:t>6.1.2</w:t>
            </w:r>
          </w:p>
        </w:tc>
        <w:tc>
          <w:tcPr>
            <w:tcW w:w="5810" w:type="dxa"/>
          </w:tcPr>
          <w:p w14:paraId="3C7B43CA" w14:textId="77777777" w:rsidR="005B3003" w:rsidRPr="005B3003" w:rsidRDefault="005B3003" w:rsidP="005B3003">
            <w:pPr>
              <w:jc w:val="both"/>
              <w:rPr>
                <w:rFonts w:ascii="Arial" w:hAnsi="Arial" w:cs="Arial"/>
                <w:sz w:val="20"/>
                <w:szCs w:val="20"/>
              </w:rPr>
            </w:pPr>
            <w:r w:rsidRPr="005B3003">
              <w:rPr>
                <w:rFonts w:ascii="Arial" w:hAnsi="Arial" w:cs="Arial"/>
                <w:sz w:val="20"/>
                <w:szCs w:val="20"/>
              </w:rPr>
              <w:t>V poznámce pod čarou č. 92 Úřad uvádí, že obdobná situace (trh s oligopolními znaky) nastala v ČR na trhu s optickým připojením. Žádáme o vysvětlení této poznámky anebo o její odstranění.</w:t>
            </w:r>
          </w:p>
        </w:tc>
        <w:tc>
          <w:tcPr>
            <w:tcW w:w="5807" w:type="dxa"/>
          </w:tcPr>
          <w:p w14:paraId="5FE47D90" w14:textId="77777777" w:rsidR="005B3003" w:rsidRDefault="00E57F85" w:rsidP="00012DB6">
            <w:pPr>
              <w:spacing w:after="120"/>
              <w:jc w:val="both"/>
              <w:rPr>
                <w:rFonts w:ascii="Arial" w:hAnsi="Arial" w:cs="Arial"/>
                <w:b/>
                <w:sz w:val="20"/>
                <w:szCs w:val="20"/>
              </w:rPr>
            </w:pPr>
            <w:r>
              <w:rPr>
                <w:rFonts w:ascii="Arial" w:hAnsi="Arial" w:cs="Arial"/>
                <w:b/>
                <w:sz w:val="20"/>
                <w:szCs w:val="20"/>
              </w:rPr>
              <w:t xml:space="preserve">Akceptováno. </w:t>
            </w:r>
          </w:p>
          <w:p w14:paraId="5BB1EDB4" w14:textId="77777777" w:rsidR="00D5569B" w:rsidRPr="00D5569B" w:rsidRDefault="00D5569B" w:rsidP="00554C65">
            <w:pPr>
              <w:jc w:val="both"/>
              <w:rPr>
                <w:rFonts w:ascii="Arial" w:hAnsi="Arial" w:cs="Arial"/>
                <w:sz w:val="20"/>
                <w:szCs w:val="20"/>
              </w:rPr>
            </w:pPr>
            <w:r w:rsidRPr="003D5C89">
              <w:rPr>
                <w:rFonts w:ascii="Arial" w:hAnsi="Arial" w:cs="Arial"/>
                <w:sz w:val="20"/>
                <w:szCs w:val="20"/>
              </w:rPr>
              <w:t>Poznámka bude odstraněna.</w:t>
            </w:r>
          </w:p>
        </w:tc>
      </w:tr>
      <w:tr w:rsidR="00655785" w:rsidRPr="005B3003" w14:paraId="54DD0E54" w14:textId="77777777" w:rsidTr="00012DB6">
        <w:tc>
          <w:tcPr>
            <w:tcW w:w="1294" w:type="dxa"/>
          </w:tcPr>
          <w:p w14:paraId="32FD5B3A" w14:textId="17ABF580" w:rsidR="00CC5B1D" w:rsidRDefault="005B3003">
            <w:pPr>
              <w:rPr>
                <w:rFonts w:ascii="Arial" w:hAnsi="Arial" w:cs="Arial"/>
                <w:sz w:val="20"/>
                <w:szCs w:val="20"/>
              </w:rPr>
            </w:pPr>
            <w:r>
              <w:rPr>
                <w:rFonts w:ascii="Arial" w:hAnsi="Arial" w:cs="Arial"/>
                <w:sz w:val="20"/>
                <w:szCs w:val="20"/>
              </w:rPr>
              <w:t>CETIN</w:t>
            </w:r>
          </w:p>
          <w:p w14:paraId="1231C696" w14:textId="1C94E899" w:rsidR="005B3003" w:rsidRPr="005B3003" w:rsidRDefault="00CC5B1D">
            <w:pPr>
              <w:rPr>
                <w:rFonts w:ascii="Arial" w:hAnsi="Arial" w:cs="Arial"/>
                <w:sz w:val="20"/>
                <w:szCs w:val="20"/>
              </w:rPr>
            </w:pPr>
            <w:r>
              <w:rPr>
                <w:rFonts w:ascii="Arial" w:hAnsi="Arial" w:cs="Arial"/>
                <w:sz w:val="20"/>
                <w:szCs w:val="20"/>
              </w:rPr>
              <w:t>(5)</w:t>
            </w:r>
            <w:r w:rsidR="005B3003">
              <w:rPr>
                <w:rFonts w:ascii="Arial" w:hAnsi="Arial" w:cs="Arial"/>
                <w:sz w:val="20"/>
                <w:szCs w:val="20"/>
              </w:rPr>
              <w:t xml:space="preserve"> </w:t>
            </w:r>
          </w:p>
        </w:tc>
        <w:tc>
          <w:tcPr>
            <w:tcW w:w="1083" w:type="dxa"/>
          </w:tcPr>
          <w:p w14:paraId="1A9C3466" w14:textId="77777777" w:rsidR="005B3003" w:rsidRPr="005B3003" w:rsidRDefault="005B3003">
            <w:pPr>
              <w:rPr>
                <w:rFonts w:ascii="Arial" w:hAnsi="Arial" w:cs="Arial"/>
                <w:sz w:val="20"/>
                <w:szCs w:val="20"/>
              </w:rPr>
            </w:pPr>
            <w:r w:rsidRPr="005B3003">
              <w:rPr>
                <w:rFonts w:ascii="Arial" w:hAnsi="Arial" w:cs="Arial"/>
                <w:sz w:val="20"/>
                <w:szCs w:val="20"/>
              </w:rPr>
              <w:t>6.2</w:t>
            </w:r>
          </w:p>
        </w:tc>
        <w:tc>
          <w:tcPr>
            <w:tcW w:w="5810" w:type="dxa"/>
          </w:tcPr>
          <w:p w14:paraId="7592E09A" w14:textId="77777777" w:rsidR="005B3003" w:rsidRPr="005B3003" w:rsidRDefault="005B3003" w:rsidP="005B3003">
            <w:pPr>
              <w:jc w:val="both"/>
              <w:rPr>
                <w:rFonts w:ascii="Arial" w:hAnsi="Arial" w:cs="Arial"/>
                <w:sz w:val="20"/>
                <w:szCs w:val="20"/>
              </w:rPr>
            </w:pPr>
            <w:r w:rsidRPr="005B3003">
              <w:rPr>
                <w:rFonts w:ascii="Arial" w:hAnsi="Arial" w:cs="Arial"/>
                <w:sz w:val="20"/>
                <w:szCs w:val="20"/>
              </w:rPr>
              <w:t>Navrhujeme úpravu části věty „existenci významné tržní síly Úřad určí na základě analýzy dvou a více následujících kritérií, nikoliv pouze na základě jediného kritéria“, a to tak, aby nové znění bylo „existenci významné tržní síly Úřad určí na základě analýzy všech relevantních následujících kritérií, nikoliv pouze na základě jediného kritéria“.</w:t>
            </w:r>
          </w:p>
        </w:tc>
        <w:tc>
          <w:tcPr>
            <w:tcW w:w="5807" w:type="dxa"/>
          </w:tcPr>
          <w:p w14:paraId="1EBF72F3" w14:textId="77777777" w:rsidR="004C5525" w:rsidRDefault="004C5525" w:rsidP="00012DB6">
            <w:pPr>
              <w:spacing w:after="120"/>
              <w:jc w:val="both"/>
              <w:rPr>
                <w:rFonts w:ascii="Arial" w:hAnsi="Arial" w:cs="Arial"/>
                <w:sz w:val="20"/>
                <w:szCs w:val="20"/>
              </w:rPr>
            </w:pPr>
            <w:r w:rsidRPr="004C5525">
              <w:rPr>
                <w:rFonts w:ascii="Arial" w:hAnsi="Arial" w:cs="Arial"/>
                <w:b/>
                <w:sz w:val="20"/>
                <w:szCs w:val="20"/>
              </w:rPr>
              <w:t>Akceptováno</w:t>
            </w:r>
            <w:r>
              <w:rPr>
                <w:rFonts w:ascii="Arial" w:hAnsi="Arial" w:cs="Arial"/>
                <w:sz w:val="20"/>
                <w:szCs w:val="20"/>
              </w:rPr>
              <w:t xml:space="preserve">. </w:t>
            </w:r>
          </w:p>
          <w:p w14:paraId="31A9A99F" w14:textId="77777777" w:rsidR="00E70444" w:rsidRPr="005B3003" w:rsidRDefault="00D5569B" w:rsidP="00554C65">
            <w:pPr>
              <w:jc w:val="both"/>
              <w:rPr>
                <w:rFonts w:ascii="Arial" w:hAnsi="Arial" w:cs="Arial"/>
                <w:sz w:val="20"/>
                <w:szCs w:val="20"/>
              </w:rPr>
            </w:pPr>
            <w:r>
              <w:rPr>
                <w:rFonts w:ascii="Arial" w:hAnsi="Arial" w:cs="Arial"/>
                <w:sz w:val="20"/>
                <w:szCs w:val="20"/>
              </w:rPr>
              <w:t>M</w:t>
            </w:r>
            <w:r w:rsidR="00A8444C">
              <w:rPr>
                <w:rFonts w:ascii="Arial" w:hAnsi="Arial" w:cs="Arial"/>
                <w:sz w:val="20"/>
                <w:szCs w:val="20"/>
              </w:rPr>
              <w:t xml:space="preserve">etodika </w:t>
            </w:r>
            <w:r>
              <w:rPr>
                <w:rFonts w:ascii="Arial" w:hAnsi="Arial" w:cs="Arial"/>
                <w:sz w:val="20"/>
                <w:szCs w:val="20"/>
              </w:rPr>
              <w:t xml:space="preserve">bude </w:t>
            </w:r>
            <w:r w:rsidR="00A8444C">
              <w:rPr>
                <w:rFonts w:ascii="Arial" w:hAnsi="Arial" w:cs="Arial"/>
                <w:sz w:val="20"/>
                <w:szCs w:val="20"/>
              </w:rPr>
              <w:t>upravena</w:t>
            </w:r>
            <w:r>
              <w:rPr>
                <w:rFonts w:ascii="Arial" w:hAnsi="Arial" w:cs="Arial"/>
                <w:sz w:val="20"/>
                <w:szCs w:val="20"/>
              </w:rPr>
              <w:t xml:space="preserve"> ve smyslu připomínky</w:t>
            </w:r>
            <w:r w:rsidR="009B2904">
              <w:rPr>
                <w:rFonts w:ascii="Arial" w:hAnsi="Arial" w:cs="Arial"/>
                <w:sz w:val="20"/>
                <w:szCs w:val="20"/>
              </w:rPr>
              <w:t>.</w:t>
            </w:r>
          </w:p>
        </w:tc>
      </w:tr>
      <w:tr w:rsidR="00655785" w:rsidRPr="005B3003" w14:paraId="73E6A6B0" w14:textId="77777777" w:rsidTr="00012DB6">
        <w:tc>
          <w:tcPr>
            <w:tcW w:w="1294" w:type="dxa"/>
          </w:tcPr>
          <w:p w14:paraId="05B84681" w14:textId="302B1E5D" w:rsidR="005B3003" w:rsidRDefault="00CC5B1D">
            <w:pPr>
              <w:rPr>
                <w:rFonts w:ascii="Arial" w:hAnsi="Arial" w:cs="Arial"/>
                <w:sz w:val="20"/>
                <w:szCs w:val="20"/>
              </w:rPr>
            </w:pPr>
            <w:r>
              <w:rPr>
                <w:rFonts w:ascii="Arial" w:hAnsi="Arial" w:cs="Arial"/>
                <w:sz w:val="20"/>
                <w:szCs w:val="20"/>
              </w:rPr>
              <w:t>CETIN</w:t>
            </w:r>
          </w:p>
          <w:p w14:paraId="3F7B96FD" w14:textId="7C1E4432" w:rsidR="00CC5B1D" w:rsidRPr="005B3003" w:rsidRDefault="00CC5B1D">
            <w:pPr>
              <w:rPr>
                <w:rFonts w:ascii="Arial" w:hAnsi="Arial" w:cs="Arial"/>
                <w:sz w:val="20"/>
                <w:szCs w:val="20"/>
              </w:rPr>
            </w:pPr>
            <w:r>
              <w:rPr>
                <w:rFonts w:ascii="Arial" w:hAnsi="Arial" w:cs="Arial"/>
                <w:sz w:val="20"/>
                <w:szCs w:val="20"/>
              </w:rPr>
              <w:t>(6)</w:t>
            </w:r>
          </w:p>
        </w:tc>
        <w:tc>
          <w:tcPr>
            <w:tcW w:w="1083" w:type="dxa"/>
          </w:tcPr>
          <w:p w14:paraId="035C4606" w14:textId="77777777" w:rsidR="005B3003" w:rsidRPr="005B3003" w:rsidRDefault="005B3003">
            <w:pPr>
              <w:rPr>
                <w:rFonts w:ascii="Arial" w:hAnsi="Arial" w:cs="Arial"/>
                <w:sz w:val="20"/>
                <w:szCs w:val="20"/>
              </w:rPr>
            </w:pPr>
            <w:r w:rsidRPr="005B3003">
              <w:rPr>
                <w:rFonts w:ascii="Arial" w:hAnsi="Arial" w:cs="Arial"/>
                <w:sz w:val="20"/>
                <w:szCs w:val="20"/>
              </w:rPr>
              <w:t>6.1</w:t>
            </w:r>
          </w:p>
        </w:tc>
        <w:tc>
          <w:tcPr>
            <w:tcW w:w="5810" w:type="dxa"/>
          </w:tcPr>
          <w:p w14:paraId="05F70D0E" w14:textId="5055A4AD" w:rsidR="005B3003" w:rsidRPr="005B3003" w:rsidRDefault="005B3003" w:rsidP="005B3003">
            <w:pPr>
              <w:jc w:val="both"/>
              <w:rPr>
                <w:rFonts w:ascii="Arial" w:hAnsi="Arial" w:cs="Arial"/>
                <w:sz w:val="20"/>
                <w:szCs w:val="20"/>
              </w:rPr>
            </w:pPr>
            <w:r w:rsidRPr="005B3003">
              <w:rPr>
                <w:rFonts w:ascii="Arial" w:hAnsi="Arial" w:cs="Arial"/>
                <w:sz w:val="20"/>
                <w:szCs w:val="20"/>
              </w:rPr>
              <w:t>Z Metodiky jasně nevyplývá, zda Úřad zamýšlí v rámci každé analýzy provést jak analýzu kritér</w:t>
            </w:r>
            <w:r w:rsidR="00F11958">
              <w:rPr>
                <w:rFonts w:ascii="Arial" w:hAnsi="Arial" w:cs="Arial"/>
                <w:sz w:val="20"/>
                <w:szCs w:val="20"/>
              </w:rPr>
              <w:t>ií pro určení samostatné, tak i </w:t>
            </w:r>
            <w:r w:rsidRPr="005B3003">
              <w:rPr>
                <w:rFonts w:ascii="Arial" w:hAnsi="Arial" w:cs="Arial"/>
                <w:sz w:val="20"/>
                <w:szCs w:val="20"/>
              </w:rPr>
              <w:t>společné významné tržní síly. Považujeme za účelné provádět analýzu kritérií pro určení spole</w:t>
            </w:r>
            <w:r w:rsidR="00F11958">
              <w:rPr>
                <w:rFonts w:ascii="Arial" w:hAnsi="Arial" w:cs="Arial"/>
                <w:sz w:val="20"/>
                <w:szCs w:val="20"/>
              </w:rPr>
              <w:t>čné významné tržní síly jenom v </w:t>
            </w:r>
            <w:r w:rsidRPr="005B3003">
              <w:rPr>
                <w:rFonts w:ascii="Arial" w:hAnsi="Arial" w:cs="Arial"/>
                <w:sz w:val="20"/>
                <w:szCs w:val="20"/>
              </w:rPr>
              <w:t>odůvodněných případech.</w:t>
            </w:r>
          </w:p>
        </w:tc>
        <w:tc>
          <w:tcPr>
            <w:tcW w:w="5807" w:type="dxa"/>
          </w:tcPr>
          <w:p w14:paraId="71BC8064" w14:textId="77777777" w:rsidR="004C5525" w:rsidRDefault="004C5525" w:rsidP="009E1C7D">
            <w:pPr>
              <w:spacing w:after="120"/>
              <w:jc w:val="both"/>
              <w:rPr>
                <w:rFonts w:ascii="Arial" w:hAnsi="Arial" w:cs="Arial"/>
                <w:sz w:val="20"/>
                <w:szCs w:val="20"/>
              </w:rPr>
            </w:pPr>
            <w:r w:rsidRPr="004C5525">
              <w:rPr>
                <w:rFonts w:ascii="Arial" w:hAnsi="Arial" w:cs="Arial"/>
                <w:b/>
                <w:sz w:val="20"/>
                <w:szCs w:val="20"/>
              </w:rPr>
              <w:t>Akceptováno</w:t>
            </w:r>
            <w:r w:rsidR="00E57F85">
              <w:rPr>
                <w:rFonts w:ascii="Arial" w:hAnsi="Arial" w:cs="Arial"/>
                <w:b/>
                <w:sz w:val="20"/>
                <w:szCs w:val="20"/>
              </w:rPr>
              <w:t xml:space="preserve"> a vysvětleno</w:t>
            </w:r>
            <w:r>
              <w:rPr>
                <w:rFonts w:ascii="Arial" w:hAnsi="Arial" w:cs="Arial"/>
                <w:sz w:val="20"/>
                <w:szCs w:val="20"/>
              </w:rPr>
              <w:t xml:space="preserve">. </w:t>
            </w:r>
          </w:p>
          <w:p w14:paraId="0EEA308F" w14:textId="77777777" w:rsidR="00BE7BAE" w:rsidRDefault="007875BE" w:rsidP="00012DB6">
            <w:pPr>
              <w:spacing w:after="120"/>
              <w:jc w:val="both"/>
              <w:rPr>
                <w:rFonts w:ascii="Arial" w:hAnsi="Arial" w:cs="Arial"/>
                <w:sz w:val="20"/>
                <w:szCs w:val="20"/>
              </w:rPr>
            </w:pPr>
            <w:r>
              <w:rPr>
                <w:rFonts w:ascii="Arial" w:hAnsi="Arial" w:cs="Arial"/>
                <w:sz w:val="20"/>
                <w:szCs w:val="20"/>
              </w:rPr>
              <w:t xml:space="preserve">Úřad </w:t>
            </w:r>
            <w:r w:rsidR="00E70444">
              <w:rPr>
                <w:rFonts w:ascii="Arial" w:hAnsi="Arial" w:cs="Arial"/>
                <w:sz w:val="20"/>
                <w:szCs w:val="20"/>
              </w:rPr>
              <w:t xml:space="preserve">bude provádět analýzu pro určení společné </w:t>
            </w:r>
            <w:r>
              <w:rPr>
                <w:rFonts w:ascii="Arial" w:hAnsi="Arial" w:cs="Arial"/>
                <w:sz w:val="20"/>
                <w:szCs w:val="20"/>
              </w:rPr>
              <w:t>významné tržní síly</w:t>
            </w:r>
            <w:r w:rsidR="00E70444">
              <w:rPr>
                <w:rFonts w:ascii="Arial" w:hAnsi="Arial" w:cs="Arial"/>
                <w:sz w:val="20"/>
                <w:szCs w:val="20"/>
              </w:rPr>
              <w:t xml:space="preserve"> </w:t>
            </w:r>
            <w:r w:rsidR="00995CC6">
              <w:rPr>
                <w:rFonts w:ascii="Arial" w:hAnsi="Arial" w:cs="Arial"/>
                <w:sz w:val="20"/>
                <w:szCs w:val="20"/>
              </w:rPr>
              <w:t>jen v odůvodněných případech</w:t>
            </w:r>
            <w:r w:rsidR="00E70444">
              <w:rPr>
                <w:rFonts w:ascii="Arial" w:hAnsi="Arial" w:cs="Arial"/>
                <w:sz w:val="20"/>
                <w:szCs w:val="20"/>
              </w:rPr>
              <w:t>.</w:t>
            </w:r>
          </w:p>
          <w:p w14:paraId="4955994B" w14:textId="77777777" w:rsidR="00CD7A00" w:rsidRPr="005B3003" w:rsidRDefault="00995CC6">
            <w:pPr>
              <w:jc w:val="both"/>
              <w:rPr>
                <w:rFonts w:ascii="Arial" w:hAnsi="Arial" w:cs="Arial"/>
                <w:sz w:val="20"/>
                <w:szCs w:val="20"/>
              </w:rPr>
            </w:pPr>
            <w:r>
              <w:rPr>
                <w:rFonts w:ascii="Arial" w:hAnsi="Arial" w:cs="Arial"/>
                <w:sz w:val="20"/>
                <w:szCs w:val="20"/>
              </w:rPr>
              <w:t>Úřad dále uvádí, že pokud bude mít informace o majetkových vazbách mezi podniky působícími na stejném relevantním trhu, bude v relevantních případech také vyhodnocovat dopad těchto majetkových vazeb</w:t>
            </w:r>
            <w:r w:rsidR="00CD7A00">
              <w:rPr>
                <w:rFonts w:ascii="Arial" w:hAnsi="Arial" w:cs="Arial"/>
                <w:sz w:val="20"/>
                <w:szCs w:val="20"/>
              </w:rPr>
              <w:t>, zejména pak</w:t>
            </w:r>
            <w:r>
              <w:rPr>
                <w:rFonts w:ascii="Arial" w:hAnsi="Arial" w:cs="Arial"/>
                <w:sz w:val="20"/>
                <w:szCs w:val="20"/>
              </w:rPr>
              <w:t xml:space="preserve"> na kritéria související s tržními podíly</w:t>
            </w:r>
            <w:r w:rsidR="00D5569B">
              <w:rPr>
                <w:rFonts w:ascii="Arial" w:hAnsi="Arial" w:cs="Arial"/>
                <w:sz w:val="20"/>
                <w:szCs w:val="20"/>
              </w:rPr>
              <w:t xml:space="preserve">, jak je uvedeno </w:t>
            </w:r>
            <w:r w:rsidR="00E57F85">
              <w:rPr>
                <w:rFonts w:ascii="Arial" w:hAnsi="Arial" w:cs="Arial"/>
                <w:sz w:val="20"/>
                <w:szCs w:val="20"/>
              </w:rPr>
              <w:t xml:space="preserve">v kapitolách 4.2.2 a 6.1.1 metodiky. Pro vyloučení pochybností je tento přístup </w:t>
            </w:r>
            <w:r w:rsidR="00D5569B">
              <w:rPr>
                <w:rFonts w:ascii="Arial" w:hAnsi="Arial" w:cs="Arial"/>
                <w:sz w:val="20"/>
                <w:szCs w:val="20"/>
              </w:rPr>
              <w:t>doplněn</w:t>
            </w:r>
            <w:r w:rsidR="00E57F85">
              <w:rPr>
                <w:rFonts w:ascii="Arial" w:hAnsi="Arial" w:cs="Arial"/>
                <w:sz w:val="20"/>
                <w:szCs w:val="20"/>
              </w:rPr>
              <w:t xml:space="preserve"> také </w:t>
            </w:r>
            <w:r w:rsidR="00D5569B">
              <w:rPr>
                <w:rFonts w:ascii="Arial" w:hAnsi="Arial" w:cs="Arial"/>
                <w:sz w:val="20"/>
                <w:szCs w:val="20"/>
              </w:rPr>
              <w:t>do</w:t>
            </w:r>
            <w:r w:rsidR="00E57F85">
              <w:rPr>
                <w:rFonts w:ascii="Arial" w:hAnsi="Arial" w:cs="Arial"/>
                <w:sz w:val="20"/>
                <w:szCs w:val="20"/>
              </w:rPr>
              <w:t> kapitol</w:t>
            </w:r>
            <w:r w:rsidR="00D5569B">
              <w:rPr>
                <w:rFonts w:ascii="Arial" w:hAnsi="Arial" w:cs="Arial"/>
                <w:sz w:val="20"/>
                <w:szCs w:val="20"/>
              </w:rPr>
              <w:t>y</w:t>
            </w:r>
            <w:r w:rsidR="00E57F85">
              <w:rPr>
                <w:rFonts w:ascii="Arial" w:hAnsi="Arial" w:cs="Arial"/>
                <w:sz w:val="20"/>
                <w:szCs w:val="20"/>
              </w:rPr>
              <w:t xml:space="preserve"> 2.1</w:t>
            </w:r>
            <w:r w:rsidR="00D5569B">
              <w:rPr>
                <w:rFonts w:ascii="Arial" w:hAnsi="Arial" w:cs="Arial"/>
                <w:sz w:val="20"/>
                <w:szCs w:val="20"/>
              </w:rPr>
              <w:t xml:space="preserve"> metodiky.</w:t>
            </w:r>
            <w:r w:rsidR="00E57F85">
              <w:rPr>
                <w:rFonts w:ascii="Arial" w:hAnsi="Arial" w:cs="Arial"/>
                <w:sz w:val="20"/>
                <w:szCs w:val="20"/>
              </w:rPr>
              <w:t xml:space="preserve"> </w:t>
            </w:r>
          </w:p>
        </w:tc>
      </w:tr>
      <w:tr w:rsidR="00655785" w:rsidRPr="005B3003" w14:paraId="3998141B" w14:textId="77777777" w:rsidTr="00012DB6">
        <w:tc>
          <w:tcPr>
            <w:tcW w:w="1294" w:type="dxa"/>
          </w:tcPr>
          <w:p w14:paraId="0138945B" w14:textId="35DBAB88" w:rsidR="00CC5B1D" w:rsidRDefault="005B3003">
            <w:pPr>
              <w:rPr>
                <w:rFonts w:ascii="Arial" w:hAnsi="Arial" w:cs="Arial"/>
                <w:sz w:val="20"/>
                <w:szCs w:val="20"/>
              </w:rPr>
            </w:pPr>
            <w:r>
              <w:rPr>
                <w:rFonts w:ascii="Arial" w:hAnsi="Arial" w:cs="Arial"/>
                <w:sz w:val="20"/>
                <w:szCs w:val="20"/>
              </w:rPr>
              <w:t>CETIN</w:t>
            </w:r>
          </w:p>
          <w:p w14:paraId="7295A2F9" w14:textId="0141014E" w:rsidR="005B3003" w:rsidRPr="005B3003" w:rsidRDefault="00CC5B1D">
            <w:pPr>
              <w:rPr>
                <w:rFonts w:ascii="Arial" w:hAnsi="Arial" w:cs="Arial"/>
                <w:sz w:val="20"/>
                <w:szCs w:val="20"/>
              </w:rPr>
            </w:pPr>
            <w:r>
              <w:rPr>
                <w:rFonts w:ascii="Arial" w:hAnsi="Arial" w:cs="Arial"/>
                <w:sz w:val="20"/>
                <w:szCs w:val="20"/>
              </w:rPr>
              <w:t>(7)</w:t>
            </w:r>
            <w:r w:rsidR="005B3003">
              <w:rPr>
                <w:rFonts w:ascii="Arial" w:hAnsi="Arial" w:cs="Arial"/>
                <w:sz w:val="20"/>
                <w:szCs w:val="20"/>
              </w:rPr>
              <w:t xml:space="preserve"> </w:t>
            </w:r>
          </w:p>
        </w:tc>
        <w:tc>
          <w:tcPr>
            <w:tcW w:w="1083" w:type="dxa"/>
          </w:tcPr>
          <w:p w14:paraId="719A202B" w14:textId="77777777" w:rsidR="005B3003" w:rsidRPr="005B3003" w:rsidRDefault="005B3003">
            <w:pPr>
              <w:rPr>
                <w:rFonts w:ascii="Arial" w:hAnsi="Arial" w:cs="Arial"/>
                <w:sz w:val="20"/>
                <w:szCs w:val="20"/>
              </w:rPr>
            </w:pPr>
            <w:r w:rsidRPr="005B3003">
              <w:rPr>
                <w:rFonts w:ascii="Arial" w:hAnsi="Arial" w:cs="Arial"/>
                <w:sz w:val="20"/>
                <w:szCs w:val="20"/>
              </w:rPr>
              <w:t>6.2.1.1</w:t>
            </w:r>
          </w:p>
        </w:tc>
        <w:tc>
          <w:tcPr>
            <w:tcW w:w="5810" w:type="dxa"/>
          </w:tcPr>
          <w:p w14:paraId="40D0F93F" w14:textId="482D22F7" w:rsidR="005B3003" w:rsidRPr="005B3003" w:rsidRDefault="005B3003" w:rsidP="005B3003">
            <w:pPr>
              <w:jc w:val="both"/>
              <w:rPr>
                <w:rFonts w:ascii="Arial" w:hAnsi="Arial" w:cs="Arial"/>
                <w:sz w:val="20"/>
                <w:szCs w:val="20"/>
              </w:rPr>
            </w:pPr>
            <w:r w:rsidRPr="005B3003">
              <w:rPr>
                <w:rFonts w:ascii="Arial" w:hAnsi="Arial" w:cs="Arial"/>
                <w:sz w:val="20"/>
                <w:szCs w:val="20"/>
              </w:rPr>
              <w:t>Metodika pro analýzu relevantního trhu by měla být založena na „forward-</w:t>
            </w:r>
            <w:proofErr w:type="spellStart"/>
            <w:r w:rsidRPr="005B3003">
              <w:rPr>
                <w:rFonts w:ascii="Arial" w:hAnsi="Arial" w:cs="Arial"/>
                <w:sz w:val="20"/>
                <w:szCs w:val="20"/>
              </w:rPr>
              <w:t>looking</w:t>
            </w:r>
            <w:proofErr w:type="spellEnd"/>
            <w:r w:rsidRPr="005B3003">
              <w:rPr>
                <w:rFonts w:ascii="Arial" w:hAnsi="Arial" w:cs="Arial"/>
                <w:sz w:val="20"/>
                <w:szCs w:val="20"/>
              </w:rPr>
              <w:t>“ přístupu, což je sice obecně zmíněno v úvodu ke kapitole 5 a 6 Metodiky, ale není promítnuto do posouzení kritéria vývoj tržního podílu v čase.</w:t>
            </w:r>
            <w:r>
              <w:rPr>
                <w:rFonts w:ascii="Arial" w:hAnsi="Arial" w:cs="Arial"/>
                <w:sz w:val="20"/>
                <w:szCs w:val="20"/>
              </w:rPr>
              <w:t xml:space="preserve"> </w:t>
            </w:r>
            <w:r w:rsidRPr="005B3003">
              <w:rPr>
                <w:rFonts w:ascii="Arial" w:hAnsi="Arial" w:cs="Arial"/>
                <w:sz w:val="20"/>
                <w:szCs w:val="20"/>
              </w:rPr>
              <w:t>Žádáme Úřad jasněji uvést, že v rámci posouzení tohot</w:t>
            </w:r>
            <w:r w:rsidR="00F11958">
              <w:rPr>
                <w:rFonts w:ascii="Arial" w:hAnsi="Arial" w:cs="Arial"/>
                <w:sz w:val="20"/>
                <w:szCs w:val="20"/>
              </w:rPr>
              <w:t>o kritéria Úřad provede úvahu o </w:t>
            </w:r>
            <w:r w:rsidRPr="005B3003">
              <w:rPr>
                <w:rFonts w:ascii="Arial" w:hAnsi="Arial" w:cs="Arial"/>
                <w:sz w:val="20"/>
                <w:szCs w:val="20"/>
              </w:rPr>
              <w:t>vývoji velikosti podílů pro celou dobu platnosti analýzy.</w:t>
            </w:r>
          </w:p>
        </w:tc>
        <w:tc>
          <w:tcPr>
            <w:tcW w:w="5807" w:type="dxa"/>
          </w:tcPr>
          <w:p w14:paraId="2BF6C7D2" w14:textId="0072931D" w:rsidR="005B3003" w:rsidRPr="00455D34" w:rsidRDefault="001C18DF" w:rsidP="00012DB6">
            <w:pPr>
              <w:spacing w:after="120"/>
              <w:jc w:val="both"/>
              <w:rPr>
                <w:rFonts w:ascii="Arial" w:hAnsi="Arial" w:cs="Arial"/>
                <w:b/>
                <w:sz w:val="20"/>
                <w:szCs w:val="20"/>
              </w:rPr>
            </w:pPr>
            <w:r>
              <w:rPr>
                <w:rFonts w:ascii="Arial" w:hAnsi="Arial" w:cs="Arial"/>
                <w:b/>
                <w:sz w:val="20"/>
                <w:szCs w:val="20"/>
              </w:rPr>
              <w:t>Neakceptováno</w:t>
            </w:r>
            <w:r w:rsidR="00D14A04">
              <w:rPr>
                <w:rFonts w:ascii="Arial" w:hAnsi="Arial" w:cs="Arial"/>
                <w:b/>
                <w:sz w:val="20"/>
                <w:szCs w:val="20"/>
              </w:rPr>
              <w:t>.</w:t>
            </w:r>
          </w:p>
          <w:p w14:paraId="355C8647" w14:textId="6B600D7E" w:rsidR="00E70444" w:rsidRPr="005B3003" w:rsidRDefault="00E70444" w:rsidP="00AB7C49">
            <w:pPr>
              <w:jc w:val="both"/>
              <w:rPr>
                <w:rFonts w:ascii="Arial" w:hAnsi="Arial" w:cs="Arial"/>
                <w:sz w:val="20"/>
                <w:szCs w:val="20"/>
              </w:rPr>
            </w:pPr>
            <w:r>
              <w:rPr>
                <w:rFonts w:ascii="Arial" w:hAnsi="Arial" w:cs="Arial"/>
                <w:sz w:val="20"/>
                <w:szCs w:val="20"/>
              </w:rPr>
              <w:t>„Forward-</w:t>
            </w:r>
            <w:proofErr w:type="spellStart"/>
            <w:r>
              <w:rPr>
                <w:rFonts w:ascii="Arial" w:hAnsi="Arial" w:cs="Arial"/>
                <w:sz w:val="20"/>
                <w:szCs w:val="20"/>
              </w:rPr>
              <w:t>looking</w:t>
            </w:r>
            <w:proofErr w:type="spellEnd"/>
            <w:r w:rsidR="002C6997">
              <w:rPr>
                <w:rFonts w:ascii="Arial" w:hAnsi="Arial" w:cs="Arial"/>
                <w:sz w:val="20"/>
                <w:szCs w:val="20"/>
              </w:rPr>
              <w:t>“ přístup Úřad u kritéria tržních podílů uplatní</w:t>
            </w:r>
            <w:r w:rsidR="00843030">
              <w:rPr>
                <w:rFonts w:ascii="Arial" w:hAnsi="Arial" w:cs="Arial"/>
                <w:sz w:val="20"/>
                <w:szCs w:val="20"/>
              </w:rPr>
              <w:t xml:space="preserve"> s výhradou zmíněnou v kapitole 3.2.2</w:t>
            </w:r>
            <w:r w:rsidR="00C66442">
              <w:rPr>
                <w:rFonts w:ascii="Arial" w:hAnsi="Arial" w:cs="Arial"/>
                <w:sz w:val="20"/>
                <w:szCs w:val="20"/>
              </w:rPr>
              <w:t xml:space="preserve"> metodiky</w:t>
            </w:r>
            <w:r w:rsidR="00843030">
              <w:rPr>
                <w:rFonts w:ascii="Arial" w:hAnsi="Arial" w:cs="Arial"/>
                <w:sz w:val="20"/>
                <w:szCs w:val="20"/>
              </w:rPr>
              <w:t>: „</w:t>
            </w:r>
            <w:r w:rsidR="00843030" w:rsidRPr="00455D34">
              <w:rPr>
                <w:rFonts w:ascii="Arial" w:hAnsi="Arial" w:cs="Arial"/>
                <w:i/>
                <w:sz w:val="20"/>
                <w:szCs w:val="20"/>
              </w:rPr>
              <w:t>Očekávaný budoucí vývoj Úřad zohledňuje jen do té míry, do které lze takový vývoj rozumně předvídat, ať již na základě vývoje na jiných geografických trzích, odborných zdrojů či dostupných informací Úřadu z jeho činnosti či z veřejně dostupných zdrojů</w:t>
            </w:r>
            <w:r w:rsidR="00843030" w:rsidRPr="00455D34">
              <w:rPr>
                <w:rFonts w:ascii="Arial" w:hAnsi="Arial" w:cs="Arial"/>
                <w:sz w:val="20"/>
                <w:szCs w:val="20"/>
              </w:rPr>
              <w:t>.“</w:t>
            </w:r>
            <w:r w:rsidR="009E1C7D">
              <w:rPr>
                <w:rFonts w:ascii="Arial" w:hAnsi="Arial" w:cs="Arial"/>
                <w:sz w:val="20"/>
                <w:szCs w:val="20"/>
              </w:rPr>
              <w:t xml:space="preserve"> </w:t>
            </w:r>
            <w:r w:rsidR="00843030">
              <w:rPr>
                <w:rFonts w:ascii="Arial" w:hAnsi="Arial" w:cs="Arial"/>
                <w:sz w:val="20"/>
                <w:szCs w:val="20"/>
              </w:rPr>
              <w:t>U</w:t>
            </w:r>
            <w:r w:rsidR="002C6997">
              <w:rPr>
                <w:rFonts w:ascii="Arial" w:hAnsi="Arial" w:cs="Arial"/>
                <w:sz w:val="20"/>
                <w:szCs w:val="20"/>
              </w:rPr>
              <w:t xml:space="preserve"> vyhodnocení kritéria tržních podílů </w:t>
            </w:r>
            <w:r w:rsidR="00843030">
              <w:rPr>
                <w:rFonts w:ascii="Arial" w:hAnsi="Arial" w:cs="Arial"/>
                <w:sz w:val="20"/>
                <w:szCs w:val="20"/>
              </w:rPr>
              <w:t xml:space="preserve">tedy Úřad zohlední budoucí vývoj, </w:t>
            </w:r>
            <w:r w:rsidR="002C6997">
              <w:rPr>
                <w:rFonts w:ascii="Arial" w:hAnsi="Arial" w:cs="Arial"/>
                <w:sz w:val="20"/>
                <w:szCs w:val="20"/>
              </w:rPr>
              <w:t xml:space="preserve">pokud bude mít k dispozici věrohodné podklady, ze kterých bude moci učinit podloženou úvahu o vývoji tržních podílů do budoucna. Pokud v době provádění analýzy nebude možné budoucí vývoj tržních podílů </w:t>
            </w:r>
            <w:r w:rsidR="00843030">
              <w:rPr>
                <w:rFonts w:ascii="Arial" w:hAnsi="Arial" w:cs="Arial"/>
                <w:sz w:val="20"/>
                <w:szCs w:val="20"/>
              </w:rPr>
              <w:t xml:space="preserve">věrohodně </w:t>
            </w:r>
            <w:r w:rsidR="00AB7C49">
              <w:rPr>
                <w:rFonts w:ascii="Arial" w:hAnsi="Arial" w:cs="Arial"/>
                <w:sz w:val="20"/>
                <w:szCs w:val="20"/>
              </w:rPr>
              <w:t>předvídat</w:t>
            </w:r>
            <w:r w:rsidR="002C6997">
              <w:rPr>
                <w:rFonts w:ascii="Arial" w:hAnsi="Arial" w:cs="Arial"/>
                <w:sz w:val="20"/>
                <w:szCs w:val="20"/>
              </w:rPr>
              <w:t xml:space="preserve">, bude Úřad velikost tržních podílů posuzovat především na základě dostupných </w:t>
            </w:r>
            <w:r w:rsidR="00843030">
              <w:rPr>
                <w:rFonts w:ascii="Arial" w:hAnsi="Arial" w:cs="Arial"/>
                <w:sz w:val="20"/>
                <w:szCs w:val="20"/>
              </w:rPr>
              <w:t xml:space="preserve">historických </w:t>
            </w:r>
            <w:r w:rsidR="002C6997">
              <w:rPr>
                <w:rFonts w:ascii="Arial" w:hAnsi="Arial" w:cs="Arial"/>
                <w:sz w:val="20"/>
                <w:szCs w:val="20"/>
              </w:rPr>
              <w:t>dat.</w:t>
            </w:r>
            <w:r w:rsidR="009E1C7D">
              <w:rPr>
                <w:rFonts w:ascii="Arial" w:hAnsi="Arial" w:cs="Arial"/>
                <w:sz w:val="20"/>
                <w:szCs w:val="20"/>
              </w:rPr>
              <w:t xml:space="preserve"> </w:t>
            </w:r>
          </w:p>
        </w:tc>
      </w:tr>
      <w:tr w:rsidR="00655785" w:rsidRPr="005B3003" w14:paraId="3AD93A91" w14:textId="77777777" w:rsidTr="00012DB6">
        <w:tc>
          <w:tcPr>
            <w:tcW w:w="1294" w:type="dxa"/>
          </w:tcPr>
          <w:p w14:paraId="475061F7" w14:textId="12F6C511" w:rsidR="00CC5B1D" w:rsidRDefault="005B3003">
            <w:pPr>
              <w:rPr>
                <w:rFonts w:ascii="Arial" w:hAnsi="Arial" w:cs="Arial"/>
                <w:sz w:val="20"/>
                <w:szCs w:val="20"/>
              </w:rPr>
            </w:pPr>
            <w:r>
              <w:rPr>
                <w:rFonts w:ascii="Arial" w:hAnsi="Arial" w:cs="Arial"/>
                <w:sz w:val="20"/>
                <w:szCs w:val="20"/>
              </w:rPr>
              <w:t>CETIN</w:t>
            </w:r>
          </w:p>
          <w:p w14:paraId="1A482022" w14:textId="1699524B" w:rsidR="005B3003" w:rsidRPr="005B3003" w:rsidRDefault="00CC5B1D">
            <w:pPr>
              <w:rPr>
                <w:rFonts w:ascii="Arial" w:hAnsi="Arial" w:cs="Arial"/>
                <w:sz w:val="20"/>
                <w:szCs w:val="20"/>
              </w:rPr>
            </w:pPr>
            <w:r>
              <w:rPr>
                <w:rFonts w:ascii="Arial" w:hAnsi="Arial" w:cs="Arial"/>
                <w:sz w:val="20"/>
                <w:szCs w:val="20"/>
              </w:rPr>
              <w:t>(8)</w:t>
            </w:r>
            <w:r w:rsidR="005B3003">
              <w:rPr>
                <w:rFonts w:ascii="Arial" w:hAnsi="Arial" w:cs="Arial"/>
                <w:sz w:val="20"/>
                <w:szCs w:val="20"/>
              </w:rPr>
              <w:t xml:space="preserve"> </w:t>
            </w:r>
          </w:p>
        </w:tc>
        <w:tc>
          <w:tcPr>
            <w:tcW w:w="1083" w:type="dxa"/>
          </w:tcPr>
          <w:p w14:paraId="5C058766" w14:textId="77777777" w:rsidR="005B3003" w:rsidRPr="005B3003" w:rsidRDefault="005B3003">
            <w:pPr>
              <w:rPr>
                <w:rFonts w:ascii="Arial" w:hAnsi="Arial" w:cs="Arial"/>
                <w:sz w:val="20"/>
                <w:szCs w:val="20"/>
              </w:rPr>
            </w:pPr>
            <w:r w:rsidRPr="005B3003">
              <w:rPr>
                <w:rFonts w:ascii="Arial" w:hAnsi="Arial" w:cs="Arial"/>
                <w:sz w:val="20"/>
                <w:szCs w:val="20"/>
              </w:rPr>
              <w:t>7.2.2</w:t>
            </w:r>
          </w:p>
        </w:tc>
        <w:tc>
          <w:tcPr>
            <w:tcW w:w="5810" w:type="dxa"/>
          </w:tcPr>
          <w:p w14:paraId="5B284618" w14:textId="759E47B0" w:rsidR="005B3003" w:rsidRPr="005B3003" w:rsidRDefault="005B3003" w:rsidP="005B3003">
            <w:pPr>
              <w:jc w:val="both"/>
              <w:rPr>
                <w:rFonts w:ascii="Arial" w:hAnsi="Arial" w:cs="Arial"/>
                <w:sz w:val="20"/>
                <w:szCs w:val="20"/>
              </w:rPr>
            </w:pPr>
            <w:r w:rsidRPr="005B3003">
              <w:rPr>
                <w:rFonts w:ascii="Arial" w:hAnsi="Arial" w:cs="Arial"/>
                <w:sz w:val="20"/>
                <w:szCs w:val="20"/>
              </w:rPr>
              <w:t>Úřad uvádí, že přiměřené nápravné opatření je takové, které je schopné zajistit nápravu potenciálního soutěžního problému, je k jeho zajištění nutné a zároveň</w:t>
            </w:r>
            <w:r w:rsidR="00F11958">
              <w:rPr>
                <w:rFonts w:ascii="Arial" w:hAnsi="Arial" w:cs="Arial"/>
                <w:sz w:val="20"/>
                <w:szCs w:val="20"/>
              </w:rPr>
              <w:t xml:space="preserve"> je nejméně tíživé pro podnik s </w:t>
            </w:r>
            <w:r w:rsidRPr="005B3003">
              <w:rPr>
                <w:rFonts w:ascii="Arial" w:hAnsi="Arial" w:cs="Arial"/>
                <w:sz w:val="20"/>
                <w:szCs w:val="20"/>
              </w:rPr>
              <w:t>významnou tržní silou, tj. jedná se o opatření s nejmenším možným zásahem pro podnik s významnou tržní silou. Uvítali bychom v metodice výslovně uvést, že v rámci ukládání nápravných opatření a posuzován</w:t>
            </w:r>
            <w:r w:rsidR="00F11958">
              <w:rPr>
                <w:rFonts w:ascii="Arial" w:hAnsi="Arial" w:cs="Arial"/>
                <w:sz w:val="20"/>
                <w:szCs w:val="20"/>
              </w:rPr>
              <w:t>í přiměřenosti tam, kde je to z </w:t>
            </w:r>
            <w:r w:rsidRPr="005B3003">
              <w:rPr>
                <w:rFonts w:ascii="Arial" w:hAnsi="Arial" w:cs="Arial"/>
                <w:sz w:val="20"/>
                <w:szCs w:val="20"/>
              </w:rPr>
              <w:t>povahy opatření vhodné, Úřad analyzuje náklady na zavedení opatření SMP podnikem s posouzením vůči očekávaným přínosům pro trh.</w:t>
            </w:r>
          </w:p>
        </w:tc>
        <w:tc>
          <w:tcPr>
            <w:tcW w:w="5807" w:type="dxa"/>
          </w:tcPr>
          <w:p w14:paraId="3315F218" w14:textId="77777777" w:rsidR="005B3003" w:rsidRPr="003D5C89" w:rsidRDefault="004C5525" w:rsidP="00012DB6">
            <w:pPr>
              <w:spacing w:after="120"/>
              <w:jc w:val="both"/>
              <w:rPr>
                <w:rFonts w:ascii="Arial" w:hAnsi="Arial" w:cs="Arial"/>
                <w:sz w:val="20"/>
                <w:szCs w:val="20"/>
              </w:rPr>
            </w:pPr>
            <w:r w:rsidRPr="003D5C89">
              <w:rPr>
                <w:rFonts w:ascii="Arial" w:hAnsi="Arial" w:cs="Arial"/>
                <w:b/>
                <w:sz w:val="20"/>
                <w:szCs w:val="20"/>
              </w:rPr>
              <w:t>Neakceptováno</w:t>
            </w:r>
            <w:r w:rsidR="00E70444" w:rsidRPr="003D5C89">
              <w:rPr>
                <w:rFonts w:ascii="Arial" w:hAnsi="Arial" w:cs="Arial"/>
                <w:sz w:val="20"/>
                <w:szCs w:val="20"/>
              </w:rPr>
              <w:t xml:space="preserve">. </w:t>
            </w:r>
          </w:p>
          <w:p w14:paraId="6BF5415B" w14:textId="77777777" w:rsidR="00CD7A00" w:rsidRPr="005B3003" w:rsidRDefault="00CD7A00">
            <w:pPr>
              <w:jc w:val="both"/>
              <w:rPr>
                <w:rFonts w:ascii="Arial" w:hAnsi="Arial" w:cs="Arial"/>
                <w:sz w:val="20"/>
                <w:szCs w:val="20"/>
              </w:rPr>
            </w:pPr>
            <w:r>
              <w:rPr>
                <w:rFonts w:ascii="Arial" w:hAnsi="Arial" w:cs="Arial"/>
                <w:sz w:val="20"/>
                <w:szCs w:val="20"/>
              </w:rPr>
              <w:t xml:space="preserve">Test přiměřenosti </w:t>
            </w:r>
            <w:r w:rsidR="00D5569B">
              <w:rPr>
                <w:rFonts w:ascii="Arial" w:hAnsi="Arial" w:cs="Arial"/>
                <w:sz w:val="20"/>
                <w:szCs w:val="20"/>
              </w:rPr>
              <w:t xml:space="preserve">nápravného opatření </w:t>
            </w:r>
            <w:r w:rsidRPr="00012DB6">
              <w:rPr>
                <w:rFonts w:ascii="Arial" w:hAnsi="Arial"/>
                <w:sz w:val="20"/>
              </w:rPr>
              <w:t xml:space="preserve">Úřad </w:t>
            </w:r>
            <w:r>
              <w:rPr>
                <w:rFonts w:ascii="Arial" w:hAnsi="Arial" w:cs="Arial"/>
                <w:sz w:val="20"/>
                <w:szCs w:val="20"/>
              </w:rPr>
              <w:t xml:space="preserve">provádí jako test </w:t>
            </w:r>
            <w:r w:rsidR="00CF4073">
              <w:rPr>
                <w:rFonts w:ascii="Arial" w:hAnsi="Arial" w:cs="Arial"/>
                <w:sz w:val="20"/>
                <w:szCs w:val="20"/>
              </w:rPr>
              <w:t xml:space="preserve">úvahový, nikoliv </w:t>
            </w:r>
            <w:r w:rsidR="00D5569B">
              <w:rPr>
                <w:rFonts w:ascii="Arial" w:hAnsi="Arial" w:cs="Arial"/>
                <w:sz w:val="20"/>
                <w:szCs w:val="20"/>
              </w:rPr>
              <w:t>formou výpočtu</w:t>
            </w:r>
            <w:r>
              <w:rPr>
                <w:rFonts w:ascii="Arial" w:hAnsi="Arial" w:cs="Arial"/>
                <w:sz w:val="20"/>
                <w:szCs w:val="20"/>
              </w:rPr>
              <w:t>.</w:t>
            </w:r>
            <w:r w:rsidR="00CF4073">
              <w:rPr>
                <w:rFonts w:ascii="Arial" w:hAnsi="Arial" w:cs="Arial"/>
                <w:sz w:val="20"/>
                <w:szCs w:val="20"/>
              </w:rPr>
              <w:t xml:space="preserve"> Úřad nehodnotí přiměřenost </w:t>
            </w:r>
            <w:r w:rsidR="00D5569B">
              <w:rPr>
                <w:rFonts w:ascii="Arial" w:hAnsi="Arial" w:cs="Arial"/>
                <w:sz w:val="20"/>
                <w:szCs w:val="20"/>
              </w:rPr>
              <w:t xml:space="preserve">nápravného </w:t>
            </w:r>
            <w:r w:rsidR="00CF4073">
              <w:rPr>
                <w:rFonts w:ascii="Arial" w:hAnsi="Arial" w:cs="Arial"/>
                <w:sz w:val="20"/>
                <w:szCs w:val="20"/>
              </w:rPr>
              <w:t xml:space="preserve">opatření </w:t>
            </w:r>
            <w:r w:rsidR="007C17E0">
              <w:rPr>
                <w:rFonts w:ascii="Arial" w:hAnsi="Arial" w:cs="Arial"/>
                <w:sz w:val="20"/>
                <w:szCs w:val="20"/>
              </w:rPr>
              <w:t xml:space="preserve">primárně </w:t>
            </w:r>
            <w:r w:rsidR="00CF4073">
              <w:rPr>
                <w:rFonts w:ascii="Arial" w:hAnsi="Arial" w:cs="Arial"/>
                <w:sz w:val="20"/>
                <w:szCs w:val="20"/>
              </w:rPr>
              <w:t xml:space="preserve">s ohledem na </w:t>
            </w:r>
            <w:r w:rsidR="00CF4073" w:rsidRPr="00012DB6">
              <w:rPr>
                <w:rFonts w:ascii="Arial" w:hAnsi="Arial"/>
                <w:sz w:val="20"/>
              </w:rPr>
              <w:t>náklady podniku s významnou tržní silou</w:t>
            </w:r>
            <w:r w:rsidR="00CF4073">
              <w:rPr>
                <w:rFonts w:ascii="Arial" w:hAnsi="Arial" w:cs="Arial"/>
                <w:sz w:val="20"/>
                <w:szCs w:val="20"/>
              </w:rPr>
              <w:t xml:space="preserve">, ale </w:t>
            </w:r>
            <w:r w:rsidR="00D5569B">
              <w:rPr>
                <w:rFonts w:ascii="Arial" w:hAnsi="Arial" w:cs="Arial"/>
                <w:sz w:val="20"/>
                <w:szCs w:val="20"/>
              </w:rPr>
              <w:t>z pohledu</w:t>
            </w:r>
            <w:r w:rsidR="00CF4073">
              <w:rPr>
                <w:rFonts w:ascii="Arial" w:hAnsi="Arial" w:cs="Arial"/>
                <w:sz w:val="20"/>
                <w:szCs w:val="20"/>
              </w:rPr>
              <w:t xml:space="preserve"> </w:t>
            </w:r>
            <w:r w:rsidR="007C17E0">
              <w:rPr>
                <w:rFonts w:ascii="Arial" w:hAnsi="Arial" w:cs="Arial"/>
                <w:sz w:val="20"/>
                <w:szCs w:val="20"/>
              </w:rPr>
              <w:t xml:space="preserve">relativního, tedy z pohledu </w:t>
            </w:r>
            <w:r w:rsidR="00CF4073">
              <w:rPr>
                <w:rFonts w:ascii="Arial" w:hAnsi="Arial" w:cs="Arial"/>
                <w:sz w:val="20"/>
                <w:szCs w:val="20"/>
              </w:rPr>
              <w:t xml:space="preserve">porovnání s jinými </w:t>
            </w:r>
            <w:r w:rsidR="00D5569B">
              <w:rPr>
                <w:rFonts w:ascii="Arial" w:hAnsi="Arial" w:cs="Arial"/>
                <w:sz w:val="20"/>
                <w:szCs w:val="20"/>
              </w:rPr>
              <w:t xml:space="preserve">nápravnými </w:t>
            </w:r>
            <w:r w:rsidR="00CF4073">
              <w:rPr>
                <w:rFonts w:ascii="Arial" w:hAnsi="Arial" w:cs="Arial"/>
                <w:sz w:val="20"/>
                <w:szCs w:val="20"/>
              </w:rPr>
              <w:t>opatřeními</w:t>
            </w:r>
            <w:r w:rsidR="004C14CB">
              <w:rPr>
                <w:rFonts w:ascii="Arial" w:hAnsi="Arial" w:cs="Arial"/>
                <w:sz w:val="20"/>
                <w:szCs w:val="20"/>
              </w:rPr>
              <w:t xml:space="preserve"> vedoucí</w:t>
            </w:r>
            <w:r w:rsidR="004411F6">
              <w:rPr>
                <w:rFonts w:ascii="Arial" w:hAnsi="Arial" w:cs="Arial"/>
                <w:sz w:val="20"/>
                <w:szCs w:val="20"/>
              </w:rPr>
              <w:t>mi</w:t>
            </w:r>
            <w:r w:rsidR="004C14CB">
              <w:rPr>
                <w:rFonts w:ascii="Arial" w:hAnsi="Arial" w:cs="Arial"/>
                <w:sz w:val="20"/>
                <w:szCs w:val="20"/>
              </w:rPr>
              <w:t xml:space="preserve"> k odstranění zjištěných potenciálních tržních problémů</w:t>
            </w:r>
            <w:r w:rsidR="00CF4073" w:rsidRPr="00012DB6">
              <w:rPr>
                <w:rFonts w:ascii="Arial" w:hAnsi="Arial"/>
                <w:sz w:val="20"/>
              </w:rPr>
              <w:t>.</w:t>
            </w:r>
            <w:r w:rsidR="00CF4073">
              <w:rPr>
                <w:rFonts w:ascii="Arial" w:hAnsi="Arial" w:cs="Arial"/>
                <w:sz w:val="20"/>
                <w:szCs w:val="20"/>
              </w:rPr>
              <w:t xml:space="preserve"> </w:t>
            </w:r>
          </w:p>
        </w:tc>
      </w:tr>
      <w:tr w:rsidR="00655785" w:rsidRPr="005B3003" w14:paraId="62935FD8" w14:textId="77777777" w:rsidTr="00012DB6">
        <w:tc>
          <w:tcPr>
            <w:tcW w:w="1294" w:type="dxa"/>
          </w:tcPr>
          <w:p w14:paraId="4063D20A" w14:textId="06C4BF5E" w:rsidR="005B3003" w:rsidRDefault="00CC5B1D">
            <w:pPr>
              <w:rPr>
                <w:rFonts w:ascii="Arial" w:hAnsi="Arial" w:cs="Arial"/>
                <w:sz w:val="20"/>
                <w:szCs w:val="20"/>
              </w:rPr>
            </w:pPr>
            <w:r>
              <w:rPr>
                <w:rFonts w:ascii="Arial" w:hAnsi="Arial" w:cs="Arial"/>
                <w:sz w:val="20"/>
                <w:szCs w:val="20"/>
              </w:rPr>
              <w:t>TMO</w:t>
            </w:r>
          </w:p>
          <w:p w14:paraId="3AA8A5EB" w14:textId="7F3747A7" w:rsidR="00CC5B1D" w:rsidRPr="005B3003" w:rsidRDefault="00CC5B1D">
            <w:pPr>
              <w:rPr>
                <w:rFonts w:ascii="Arial" w:hAnsi="Arial" w:cs="Arial"/>
                <w:sz w:val="20"/>
                <w:szCs w:val="20"/>
              </w:rPr>
            </w:pPr>
            <w:r>
              <w:rPr>
                <w:rFonts w:ascii="Arial" w:hAnsi="Arial" w:cs="Arial"/>
                <w:sz w:val="20"/>
                <w:szCs w:val="20"/>
              </w:rPr>
              <w:t>(9)</w:t>
            </w:r>
          </w:p>
        </w:tc>
        <w:tc>
          <w:tcPr>
            <w:tcW w:w="1083" w:type="dxa"/>
          </w:tcPr>
          <w:p w14:paraId="72F1E8A8" w14:textId="77777777" w:rsidR="005B3003" w:rsidRPr="005B3003" w:rsidRDefault="007352BA">
            <w:pPr>
              <w:rPr>
                <w:rFonts w:ascii="Arial" w:hAnsi="Arial" w:cs="Arial"/>
                <w:sz w:val="20"/>
                <w:szCs w:val="20"/>
              </w:rPr>
            </w:pPr>
            <w:r>
              <w:rPr>
                <w:rFonts w:ascii="Arial" w:hAnsi="Arial" w:cs="Arial"/>
                <w:sz w:val="20"/>
                <w:szCs w:val="20"/>
              </w:rPr>
              <w:t>Kap. 3.3</w:t>
            </w:r>
          </w:p>
        </w:tc>
        <w:tc>
          <w:tcPr>
            <w:tcW w:w="5810" w:type="dxa"/>
          </w:tcPr>
          <w:p w14:paraId="45776F64" w14:textId="7C931E5B" w:rsidR="005B3003" w:rsidRPr="005B3003" w:rsidRDefault="007352BA" w:rsidP="007352BA">
            <w:pPr>
              <w:jc w:val="both"/>
              <w:rPr>
                <w:rFonts w:ascii="Arial" w:hAnsi="Arial" w:cs="Arial"/>
                <w:sz w:val="20"/>
                <w:szCs w:val="20"/>
              </w:rPr>
            </w:pPr>
            <w:r w:rsidRPr="007352BA">
              <w:rPr>
                <w:rFonts w:ascii="Arial" w:hAnsi="Arial" w:cs="Arial"/>
                <w:sz w:val="20"/>
                <w:szCs w:val="20"/>
              </w:rPr>
              <w:t>Navrhujeme, aby Český telekomunikační úřad již v Návrhu deklarov</w:t>
            </w:r>
            <w:r w:rsidR="00655785">
              <w:rPr>
                <w:rFonts w:ascii="Arial" w:hAnsi="Arial" w:cs="Arial"/>
                <w:sz w:val="20"/>
                <w:szCs w:val="20"/>
              </w:rPr>
              <w:t xml:space="preserve">al, že provede detailní analýzu </w:t>
            </w:r>
            <w:r w:rsidR="00F11958">
              <w:rPr>
                <w:rFonts w:ascii="Arial" w:hAnsi="Arial" w:cs="Arial"/>
                <w:sz w:val="20"/>
                <w:szCs w:val="20"/>
              </w:rPr>
              <w:t>využívání OTT služeb a </w:t>
            </w:r>
            <w:r w:rsidRPr="007352BA">
              <w:rPr>
                <w:rFonts w:ascii="Arial" w:hAnsi="Arial" w:cs="Arial"/>
                <w:sz w:val="20"/>
                <w:szCs w:val="20"/>
              </w:rPr>
              <w:t>jejich dopadů do tržní situace na jednotlivých t</w:t>
            </w:r>
            <w:r w:rsidR="00655785">
              <w:rPr>
                <w:rFonts w:ascii="Arial" w:hAnsi="Arial" w:cs="Arial"/>
                <w:sz w:val="20"/>
                <w:szCs w:val="20"/>
              </w:rPr>
              <w:t xml:space="preserve">rzích, a její výsledky zohlední </w:t>
            </w:r>
            <w:r w:rsidRPr="007352BA">
              <w:rPr>
                <w:rFonts w:ascii="Arial" w:hAnsi="Arial" w:cs="Arial"/>
                <w:sz w:val="20"/>
                <w:szCs w:val="20"/>
              </w:rPr>
              <w:t>v rámci věcného vymezení konkrétních trhů.</w:t>
            </w:r>
          </w:p>
        </w:tc>
        <w:tc>
          <w:tcPr>
            <w:tcW w:w="5807" w:type="dxa"/>
          </w:tcPr>
          <w:p w14:paraId="11F91AA2" w14:textId="77777777" w:rsidR="007352BA" w:rsidRDefault="004C5525" w:rsidP="00012DB6">
            <w:pPr>
              <w:spacing w:after="120"/>
              <w:jc w:val="both"/>
              <w:rPr>
                <w:rFonts w:ascii="Arial" w:hAnsi="Arial" w:cs="Arial"/>
                <w:sz w:val="20"/>
                <w:szCs w:val="20"/>
              </w:rPr>
            </w:pPr>
            <w:r w:rsidRPr="004C5525">
              <w:rPr>
                <w:rFonts w:ascii="Arial" w:hAnsi="Arial" w:cs="Arial"/>
                <w:b/>
                <w:sz w:val="20"/>
                <w:szCs w:val="20"/>
              </w:rPr>
              <w:t>Neakceptováno</w:t>
            </w:r>
            <w:r w:rsidR="007352BA">
              <w:rPr>
                <w:rFonts w:ascii="Arial" w:hAnsi="Arial" w:cs="Arial"/>
                <w:sz w:val="20"/>
                <w:szCs w:val="20"/>
              </w:rPr>
              <w:t xml:space="preserve"> </w:t>
            </w:r>
          </w:p>
          <w:p w14:paraId="1C7F8162" w14:textId="77777777" w:rsidR="007352BA" w:rsidRPr="005B3003" w:rsidRDefault="007352BA" w:rsidP="00CD7A00">
            <w:pPr>
              <w:jc w:val="both"/>
              <w:rPr>
                <w:rFonts w:ascii="Arial" w:hAnsi="Arial" w:cs="Arial"/>
                <w:sz w:val="20"/>
                <w:szCs w:val="20"/>
              </w:rPr>
            </w:pPr>
            <w:r>
              <w:rPr>
                <w:rFonts w:ascii="Arial" w:hAnsi="Arial" w:cs="Arial"/>
                <w:sz w:val="20"/>
                <w:szCs w:val="20"/>
              </w:rPr>
              <w:t xml:space="preserve">Metodika </w:t>
            </w:r>
            <w:r w:rsidR="00CD7A00">
              <w:rPr>
                <w:rFonts w:ascii="Arial" w:hAnsi="Arial" w:cs="Arial"/>
                <w:sz w:val="20"/>
                <w:szCs w:val="20"/>
              </w:rPr>
              <w:t xml:space="preserve">popisuje </w:t>
            </w:r>
            <w:r>
              <w:rPr>
                <w:rFonts w:ascii="Arial" w:hAnsi="Arial" w:cs="Arial"/>
                <w:sz w:val="20"/>
                <w:szCs w:val="20"/>
              </w:rPr>
              <w:t>nástroje</w:t>
            </w:r>
            <w:r w:rsidR="00CD7A00">
              <w:rPr>
                <w:rFonts w:ascii="Arial" w:hAnsi="Arial" w:cs="Arial"/>
                <w:sz w:val="20"/>
                <w:szCs w:val="20"/>
              </w:rPr>
              <w:t>,</w:t>
            </w:r>
            <w:r>
              <w:rPr>
                <w:rFonts w:ascii="Arial" w:hAnsi="Arial" w:cs="Arial"/>
                <w:sz w:val="20"/>
                <w:szCs w:val="20"/>
              </w:rPr>
              <w:t xml:space="preserve"> jak </w:t>
            </w:r>
            <w:r w:rsidR="00565BFB">
              <w:rPr>
                <w:rFonts w:ascii="Arial" w:hAnsi="Arial" w:cs="Arial"/>
                <w:sz w:val="20"/>
                <w:szCs w:val="20"/>
              </w:rPr>
              <w:t xml:space="preserve">v rámci </w:t>
            </w:r>
            <w:r w:rsidR="00CD7A00">
              <w:rPr>
                <w:rFonts w:ascii="Arial" w:hAnsi="Arial" w:cs="Arial"/>
                <w:sz w:val="20"/>
                <w:szCs w:val="20"/>
              </w:rPr>
              <w:t xml:space="preserve">věcného vymezení </w:t>
            </w:r>
            <w:r w:rsidR="00565BFB">
              <w:rPr>
                <w:rFonts w:ascii="Arial" w:hAnsi="Arial" w:cs="Arial"/>
                <w:sz w:val="20"/>
                <w:szCs w:val="20"/>
              </w:rPr>
              <w:t>trhu posuzovat zastupitelnost produktů a služeb</w:t>
            </w:r>
            <w:r>
              <w:rPr>
                <w:rFonts w:ascii="Arial" w:hAnsi="Arial" w:cs="Arial"/>
                <w:sz w:val="20"/>
                <w:szCs w:val="20"/>
              </w:rPr>
              <w:t xml:space="preserve">. </w:t>
            </w:r>
            <w:r w:rsidR="00565BFB">
              <w:rPr>
                <w:rFonts w:ascii="Arial" w:hAnsi="Arial" w:cs="Arial"/>
                <w:sz w:val="20"/>
                <w:szCs w:val="20"/>
              </w:rPr>
              <w:t xml:space="preserve">Účelem Metodiky není předvídat, jaké produkty a služby budou do testu zastupitelnosti pro účely věcného vymezení trhu na konkrétních trzích vstupovat. </w:t>
            </w:r>
          </w:p>
        </w:tc>
      </w:tr>
      <w:tr w:rsidR="00655785" w:rsidRPr="005B3003" w14:paraId="0162ADA8" w14:textId="77777777" w:rsidTr="00012DB6">
        <w:tc>
          <w:tcPr>
            <w:tcW w:w="1294" w:type="dxa"/>
          </w:tcPr>
          <w:p w14:paraId="44EE29A1" w14:textId="7C272ADE" w:rsidR="005B3003" w:rsidRDefault="00012DB6">
            <w:pPr>
              <w:rPr>
                <w:rFonts w:ascii="Arial" w:hAnsi="Arial" w:cs="Arial"/>
                <w:sz w:val="20"/>
                <w:szCs w:val="20"/>
              </w:rPr>
            </w:pPr>
            <w:r>
              <w:rPr>
                <w:rFonts w:ascii="Arial" w:hAnsi="Arial" w:cs="Arial"/>
                <w:sz w:val="20"/>
                <w:szCs w:val="20"/>
              </w:rPr>
              <w:t>TMO</w:t>
            </w:r>
          </w:p>
          <w:p w14:paraId="4AD0DA1A" w14:textId="7FBFCCF7" w:rsidR="00CC5B1D" w:rsidRPr="005B3003" w:rsidRDefault="00CC5B1D">
            <w:pPr>
              <w:rPr>
                <w:rFonts w:ascii="Arial" w:hAnsi="Arial" w:cs="Arial"/>
                <w:sz w:val="20"/>
                <w:szCs w:val="20"/>
              </w:rPr>
            </w:pPr>
            <w:r>
              <w:rPr>
                <w:rFonts w:ascii="Arial" w:hAnsi="Arial" w:cs="Arial"/>
                <w:sz w:val="20"/>
                <w:szCs w:val="20"/>
              </w:rPr>
              <w:t>(10)</w:t>
            </w:r>
          </w:p>
        </w:tc>
        <w:tc>
          <w:tcPr>
            <w:tcW w:w="1083" w:type="dxa"/>
          </w:tcPr>
          <w:p w14:paraId="494C0238" w14:textId="77777777" w:rsidR="005B3003" w:rsidRPr="005B3003" w:rsidRDefault="005B3003">
            <w:pPr>
              <w:rPr>
                <w:rFonts w:ascii="Arial" w:hAnsi="Arial" w:cs="Arial"/>
                <w:sz w:val="20"/>
                <w:szCs w:val="20"/>
              </w:rPr>
            </w:pPr>
          </w:p>
        </w:tc>
        <w:tc>
          <w:tcPr>
            <w:tcW w:w="5810" w:type="dxa"/>
          </w:tcPr>
          <w:p w14:paraId="40385F7B" w14:textId="3D4AECE1" w:rsidR="00655785" w:rsidRDefault="00655785" w:rsidP="009E1C7D">
            <w:pPr>
              <w:spacing w:after="120"/>
              <w:jc w:val="both"/>
              <w:rPr>
                <w:rFonts w:ascii="Arial" w:hAnsi="Arial" w:cs="Arial"/>
                <w:sz w:val="20"/>
                <w:szCs w:val="20"/>
              </w:rPr>
            </w:pPr>
            <w:r w:rsidRPr="00655785">
              <w:rPr>
                <w:rFonts w:ascii="Arial" w:hAnsi="Arial" w:cs="Arial"/>
                <w:sz w:val="20"/>
                <w:szCs w:val="20"/>
              </w:rPr>
              <w:t xml:space="preserve">V rámci této kapitoly, k bodu </w:t>
            </w:r>
            <w:proofErr w:type="spellStart"/>
            <w:r w:rsidRPr="00655785">
              <w:rPr>
                <w:rFonts w:ascii="Arial" w:hAnsi="Arial" w:cs="Arial"/>
                <w:sz w:val="20"/>
                <w:szCs w:val="20"/>
              </w:rPr>
              <w:t>viii</w:t>
            </w:r>
            <w:proofErr w:type="spellEnd"/>
            <w:r w:rsidRPr="00655785">
              <w:rPr>
                <w:rFonts w:ascii="Arial" w:hAnsi="Arial" w:cs="Arial"/>
                <w:sz w:val="20"/>
                <w:szCs w:val="20"/>
              </w:rPr>
              <w:t>) Vertikální integrace, navrhujeme zabýv</w:t>
            </w:r>
            <w:r>
              <w:rPr>
                <w:rFonts w:ascii="Arial" w:hAnsi="Arial" w:cs="Arial"/>
                <w:sz w:val="20"/>
                <w:szCs w:val="20"/>
              </w:rPr>
              <w:t xml:space="preserve">at se konkrétní situací na trhu </w:t>
            </w:r>
            <w:r w:rsidRPr="00655785">
              <w:rPr>
                <w:rFonts w:ascii="Arial" w:hAnsi="Arial" w:cs="Arial"/>
                <w:sz w:val="20"/>
                <w:szCs w:val="20"/>
              </w:rPr>
              <w:t>elektronických komunikací v České republice. Po dobrovolné separac</w:t>
            </w:r>
            <w:r>
              <w:rPr>
                <w:rFonts w:ascii="Arial" w:hAnsi="Arial" w:cs="Arial"/>
                <w:sz w:val="20"/>
                <w:szCs w:val="20"/>
              </w:rPr>
              <w:t xml:space="preserve">i společnosti O2 Czech Republic </w:t>
            </w:r>
            <w:r w:rsidRPr="00655785">
              <w:rPr>
                <w:rFonts w:ascii="Arial" w:hAnsi="Arial" w:cs="Arial"/>
                <w:sz w:val="20"/>
                <w:szCs w:val="20"/>
              </w:rPr>
              <w:t>a.s. došlo sice k formálnímu rozdělení společnosti, kde jedna poskytu</w:t>
            </w:r>
            <w:r>
              <w:rPr>
                <w:rFonts w:ascii="Arial" w:hAnsi="Arial" w:cs="Arial"/>
                <w:sz w:val="20"/>
                <w:szCs w:val="20"/>
              </w:rPr>
              <w:t xml:space="preserve">je velkoobchodní služby a druhá </w:t>
            </w:r>
            <w:r w:rsidRPr="00655785">
              <w:rPr>
                <w:rFonts w:ascii="Arial" w:hAnsi="Arial" w:cs="Arial"/>
                <w:sz w:val="20"/>
                <w:szCs w:val="20"/>
              </w:rPr>
              <w:t>služby m</w:t>
            </w:r>
            <w:r w:rsidR="0000381C">
              <w:rPr>
                <w:rFonts w:ascii="Arial" w:hAnsi="Arial" w:cs="Arial"/>
                <w:sz w:val="20"/>
                <w:szCs w:val="20"/>
              </w:rPr>
              <w:t>aloobchodní. Nicméně vzhledem k </w:t>
            </w:r>
            <w:r w:rsidRPr="00655785">
              <w:rPr>
                <w:rFonts w:ascii="Arial" w:hAnsi="Arial" w:cs="Arial"/>
                <w:sz w:val="20"/>
                <w:szCs w:val="20"/>
              </w:rPr>
              <w:t>přetrvávají</w:t>
            </w:r>
            <w:r>
              <w:rPr>
                <w:rFonts w:ascii="Arial" w:hAnsi="Arial" w:cs="Arial"/>
                <w:sz w:val="20"/>
                <w:szCs w:val="20"/>
              </w:rPr>
              <w:t xml:space="preserve">címu propojení obou společností </w:t>
            </w:r>
            <w:r w:rsidRPr="00655785">
              <w:rPr>
                <w:rFonts w:ascii="Arial" w:hAnsi="Arial" w:cs="Arial"/>
                <w:sz w:val="20"/>
                <w:szCs w:val="20"/>
              </w:rPr>
              <w:t>prostřednictvím osoby majoritního vlastníka obou z nich (skupina PP</w:t>
            </w:r>
            <w:r>
              <w:rPr>
                <w:rFonts w:ascii="Arial" w:hAnsi="Arial" w:cs="Arial"/>
                <w:sz w:val="20"/>
                <w:szCs w:val="20"/>
              </w:rPr>
              <w:t xml:space="preserve">F) se jedná nadále o vertikálně </w:t>
            </w:r>
            <w:r w:rsidRPr="00655785">
              <w:rPr>
                <w:rFonts w:ascii="Arial" w:hAnsi="Arial" w:cs="Arial"/>
                <w:sz w:val="20"/>
                <w:szCs w:val="20"/>
              </w:rPr>
              <w:t>integrovanou entitu.</w:t>
            </w:r>
          </w:p>
          <w:p w14:paraId="0506CBB1" w14:textId="3769A68B" w:rsidR="00655785" w:rsidRDefault="009E1C7D" w:rsidP="009E1C7D">
            <w:pPr>
              <w:spacing w:after="120"/>
              <w:jc w:val="both"/>
              <w:rPr>
                <w:rFonts w:ascii="Arial" w:hAnsi="Arial" w:cs="Arial"/>
                <w:sz w:val="20"/>
                <w:szCs w:val="20"/>
              </w:rPr>
            </w:pPr>
            <w:r>
              <w:rPr>
                <w:rFonts w:ascii="Arial" w:hAnsi="Arial" w:cs="Arial"/>
                <w:sz w:val="20"/>
                <w:szCs w:val="20"/>
              </w:rPr>
              <w:t>(…)</w:t>
            </w:r>
          </w:p>
          <w:p w14:paraId="37878B48" w14:textId="50832E3C" w:rsidR="00655785" w:rsidRDefault="00655785" w:rsidP="009E1C7D">
            <w:pPr>
              <w:spacing w:after="120"/>
              <w:jc w:val="both"/>
              <w:rPr>
                <w:rFonts w:ascii="Arial" w:hAnsi="Arial" w:cs="Arial"/>
                <w:sz w:val="20"/>
                <w:szCs w:val="20"/>
              </w:rPr>
            </w:pPr>
            <w:r w:rsidRPr="00655785">
              <w:rPr>
                <w:rFonts w:ascii="Arial" w:hAnsi="Arial" w:cs="Arial"/>
                <w:sz w:val="20"/>
                <w:szCs w:val="20"/>
              </w:rPr>
              <w:t xml:space="preserve">Z výše uvedených důvodů navrhujeme změnit textaci prvního odstavce </w:t>
            </w:r>
            <w:r>
              <w:rPr>
                <w:rFonts w:ascii="Arial" w:hAnsi="Arial" w:cs="Arial"/>
                <w:sz w:val="20"/>
                <w:szCs w:val="20"/>
              </w:rPr>
              <w:t xml:space="preserve">bodu </w:t>
            </w:r>
            <w:proofErr w:type="spellStart"/>
            <w:r>
              <w:rPr>
                <w:rFonts w:ascii="Arial" w:hAnsi="Arial" w:cs="Arial"/>
                <w:sz w:val="20"/>
                <w:szCs w:val="20"/>
              </w:rPr>
              <w:t>viii</w:t>
            </w:r>
            <w:proofErr w:type="spellEnd"/>
            <w:r>
              <w:rPr>
                <w:rFonts w:ascii="Arial" w:hAnsi="Arial" w:cs="Arial"/>
                <w:sz w:val="20"/>
                <w:szCs w:val="20"/>
              </w:rPr>
              <w:t xml:space="preserve">) Vertikální integrace </w:t>
            </w:r>
            <w:r w:rsidRPr="00655785">
              <w:rPr>
                <w:rFonts w:ascii="Arial" w:hAnsi="Arial" w:cs="Arial"/>
                <w:sz w:val="20"/>
                <w:szCs w:val="20"/>
              </w:rPr>
              <w:t>následovně:</w:t>
            </w:r>
          </w:p>
          <w:p w14:paraId="55C9D983" w14:textId="6C5E1D75" w:rsidR="00655785" w:rsidRDefault="00655785" w:rsidP="009E1C7D">
            <w:pPr>
              <w:spacing w:after="120"/>
              <w:jc w:val="both"/>
              <w:rPr>
                <w:rFonts w:ascii="Arial" w:hAnsi="Arial" w:cs="Arial"/>
                <w:sz w:val="20"/>
                <w:szCs w:val="20"/>
              </w:rPr>
            </w:pPr>
            <w:r w:rsidRPr="00655785">
              <w:rPr>
                <w:rFonts w:ascii="Arial" w:hAnsi="Arial" w:cs="Arial"/>
                <w:sz w:val="20"/>
                <w:szCs w:val="20"/>
              </w:rPr>
              <w:t xml:space="preserve">„Jestliže podnik, resp. podniky, poskytují celou řadu produktů na </w:t>
            </w:r>
            <w:r>
              <w:rPr>
                <w:rFonts w:ascii="Arial" w:hAnsi="Arial" w:cs="Arial"/>
                <w:sz w:val="20"/>
                <w:szCs w:val="20"/>
              </w:rPr>
              <w:t xml:space="preserve">různých úrovních celého tržního </w:t>
            </w:r>
            <w:r w:rsidRPr="00655785">
              <w:rPr>
                <w:rFonts w:ascii="Arial" w:hAnsi="Arial" w:cs="Arial"/>
                <w:sz w:val="20"/>
                <w:szCs w:val="20"/>
              </w:rPr>
              <w:t xml:space="preserve">řetězce, tj. produkt nebo službu a zároveň jeho velkoobchodní vstupy, </w:t>
            </w:r>
            <w:r>
              <w:rPr>
                <w:rFonts w:ascii="Arial" w:hAnsi="Arial" w:cs="Arial"/>
                <w:sz w:val="20"/>
                <w:szCs w:val="20"/>
              </w:rPr>
              <w:t xml:space="preserve">Úřad zkoumá, zda takový podnik, </w:t>
            </w:r>
            <w:r w:rsidRPr="00655785">
              <w:rPr>
                <w:rFonts w:ascii="Arial" w:hAnsi="Arial" w:cs="Arial"/>
                <w:sz w:val="20"/>
                <w:szCs w:val="20"/>
              </w:rPr>
              <w:t>resp. podniky, jsou schopny jednat nezávisle na svých konkurentech</w:t>
            </w:r>
            <w:r>
              <w:rPr>
                <w:rFonts w:ascii="Arial" w:hAnsi="Arial" w:cs="Arial"/>
                <w:sz w:val="20"/>
                <w:szCs w:val="20"/>
              </w:rPr>
              <w:t xml:space="preserve">, kteří </w:t>
            </w:r>
            <w:r>
              <w:rPr>
                <w:rFonts w:ascii="Arial" w:hAnsi="Arial" w:cs="Arial"/>
                <w:sz w:val="20"/>
                <w:szCs w:val="20"/>
              </w:rPr>
              <w:lastRenderedPageBreak/>
              <w:t xml:space="preserve">mají rozdílné vlastníky </w:t>
            </w:r>
            <w:r w:rsidRPr="00655785">
              <w:rPr>
                <w:rFonts w:ascii="Arial" w:hAnsi="Arial" w:cs="Arial"/>
                <w:sz w:val="20"/>
                <w:szCs w:val="20"/>
              </w:rPr>
              <w:t>a působí pouze na maloobch</w:t>
            </w:r>
            <w:r>
              <w:rPr>
                <w:rFonts w:ascii="Arial" w:hAnsi="Arial" w:cs="Arial"/>
                <w:sz w:val="20"/>
                <w:szCs w:val="20"/>
              </w:rPr>
              <w:t>odní nebo velkoobchodní úrovni</w:t>
            </w:r>
            <w:r w:rsidR="009E1C7D">
              <w:rPr>
                <w:rFonts w:ascii="Arial" w:hAnsi="Arial" w:cs="Arial"/>
                <w:sz w:val="20"/>
                <w:szCs w:val="20"/>
              </w:rPr>
              <w:t>.</w:t>
            </w:r>
          </w:p>
          <w:p w14:paraId="3BAA6AA8" w14:textId="6552FE96" w:rsidR="00655785" w:rsidRPr="005B3003" w:rsidRDefault="00655785" w:rsidP="009E1C7D">
            <w:pPr>
              <w:spacing w:after="120"/>
              <w:jc w:val="both"/>
              <w:rPr>
                <w:rFonts w:ascii="Arial" w:hAnsi="Arial" w:cs="Arial"/>
                <w:sz w:val="20"/>
                <w:szCs w:val="20"/>
              </w:rPr>
            </w:pPr>
            <w:r w:rsidRPr="00655785">
              <w:rPr>
                <w:rFonts w:ascii="Arial" w:hAnsi="Arial" w:cs="Arial"/>
                <w:sz w:val="20"/>
                <w:szCs w:val="20"/>
              </w:rPr>
              <w:t>Pro posouzení vertikální integrace Úřad zkoumá zejména strukturální,</w:t>
            </w:r>
            <w:r>
              <w:rPr>
                <w:rFonts w:ascii="Arial" w:hAnsi="Arial" w:cs="Arial"/>
                <w:sz w:val="20"/>
                <w:szCs w:val="20"/>
              </w:rPr>
              <w:t xml:space="preserve"> kontrolní a řídící vztahy mezi </w:t>
            </w:r>
            <w:r w:rsidRPr="00655785">
              <w:rPr>
                <w:rFonts w:ascii="Arial" w:hAnsi="Arial" w:cs="Arial"/>
                <w:sz w:val="20"/>
                <w:szCs w:val="20"/>
              </w:rPr>
              <w:t>jednotlivými částmi podniku, resp. podniků, p</w:t>
            </w:r>
            <w:r>
              <w:rPr>
                <w:rFonts w:ascii="Arial" w:hAnsi="Arial" w:cs="Arial"/>
                <w:sz w:val="20"/>
                <w:szCs w:val="20"/>
              </w:rPr>
              <w:t xml:space="preserve">ůsobících na stejném trhu či na </w:t>
            </w:r>
            <w:r w:rsidRPr="00655785">
              <w:rPr>
                <w:rFonts w:ascii="Arial" w:hAnsi="Arial" w:cs="Arial"/>
                <w:sz w:val="20"/>
                <w:szCs w:val="20"/>
              </w:rPr>
              <w:t>podřazených/nadřazených trzích. Úřad při hodnocení vertiká</w:t>
            </w:r>
            <w:r>
              <w:rPr>
                <w:rFonts w:ascii="Arial" w:hAnsi="Arial" w:cs="Arial"/>
                <w:sz w:val="20"/>
                <w:szCs w:val="20"/>
              </w:rPr>
              <w:t xml:space="preserve">lní integrace přihlédne ke všem </w:t>
            </w:r>
            <w:r w:rsidR="0000381C">
              <w:rPr>
                <w:rFonts w:ascii="Arial" w:hAnsi="Arial" w:cs="Arial"/>
                <w:sz w:val="20"/>
                <w:szCs w:val="20"/>
              </w:rPr>
              <w:t>okolnostem, historickému a </w:t>
            </w:r>
            <w:r w:rsidRPr="00655785">
              <w:rPr>
                <w:rFonts w:ascii="Arial" w:hAnsi="Arial" w:cs="Arial"/>
                <w:sz w:val="20"/>
                <w:szCs w:val="20"/>
              </w:rPr>
              <w:t>očekávanému vývoji a dalším faktorům, kt</w:t>
            </w:r>
            <w:r>
              <w:rPr>
                <w:rFonts w:ascii="Arial" w:hAnsi="Arial" w:cs="Arial"/>
                <w:sz w:val="20"/>
                <w:szCs w:val="20"/>
              </w:rPr>
              <w:t xml:space="preserve">eré mohou mít vliv na skutečnou </w:t>
            </w:r>
            <w:r w:rsidRPr="00655785">
              <w:rPr>
                <w:rFonts w:ascii="Arial" w:hAnsi="Arial" w:cs="Arial"/>
                <w:sz w:val="20"/>
                <w:szCs w:val="20"/>
              </w:rPr>
              <w:t>situaci na trhu.“</w:t>
            </w:r>
          </w:p>
        </w:tc>
        <w:tc>
          <w:tcPr>
            <w:tcW w:w="5807" w:type="dxa"/>
          </w:tcPr>
          <w:p w14:paraId="13CA705F" w14:textId="77777777" w:rsidR="005B3003" w:rsidRDefault="00CF4073" w:rsidP="00012DB6">
            <w:pPr>
              <w:spacing w:after="120"/>
              <w:jc w:val="both"/>
              <w:rPr>
                <w:rFonts w:ascii="Arial" w:hAnsi="Arial" w:cs="Arial"/>
                <w:sz w:val="20"/>
                <w:szCs w:val="20"/>
              </w:rPr>
            </w:pPr>
            <w:r>
              <w:rPr>
                <w:rFonts w:ascii="Arial" w:hAnsi="Arial" w:cs="Arial"/>
                <w:b/>
                <w:sz w:val="20"/>
                <w:szCs w:val="20"/>
              </w:rPr>
              <w:lastRenderedPageBreak/>
              <w:t>Částečně akceptováno</w:t>
            </w:r>
            <w:r w:rsidR="00655785" w:rsidRPr="004C5525">
              <w:rPr>
                <w:rFonts w:ascii="Arial" w:hAnsi="Arial" w:cs="Arial"/>
                <w:sz w:val="20"/>
                <w:szCs w:val="20"/>
              </w:rPr>
              <w:t>.</w:t>
            </w:r>
            <w:r w:rsidR="00655785">
              <w:rPr>
                <w:rFonts w:ascii="Arial" w:hAnsi="Arial" w:cs="Arial"/>
                <w:sz w:val="20"/>
                <w:szCs w:val="20"/>
              </w:rPr>
              <w:t xml:space="preserve"> </w:t>
            </w:r>
          </w:p>
          <w:p w14:paraId="5845AEF9" w14:textId="1D797767" w:rsidR="008F6DEF" w:rsidRDefault="00B3714E" w:rsidP="00012DB6">
            <w:pPr>
              <w:spacing w:after="120"/>
              <w:jc w:val="both"/>
              <w:rPr>
                <w:rFonts w:ascii="Arial" w:hAnsi="Arial" w:cs="Arial"/>
                <w:sz w:val="20"/>
                <w:szCs w:val="20"/>
              </w:rPr>
            </w:pPr>
            <w:r>
              <w:rPr>
                <w:rFonts w:ascii="Arial" w:hAnsi="Arial" w:cs="Arial"/>
                <w:sz w:val="20"/>
                <w:szCs w:val="20"/>
              </w:rPr>
              <w:t xml:space="preserve">Úřad </w:t>
            </w:r>
            <w:r w:rsidR="007C17E0">
              <w:rPr>
                <w:rFonts w:ascii="Arial" w:hAnsi="Arial" w:cs="Arial"/>
                <w:sz w:val="20"/>
                <w:szCs w:val="20"/>
              </w:rPr>
              <w:t xml:space="preserve">souhlasí, že </w:t>
            </w:r>
            <w:r w:rsidR="00276CF2">
              <w:rPr>
                <w:rFonts w:ascii="Arial" w:hAnsi="Arial" w:cs="Arial"/>
                <w:sz w:val="20"/>
                <w:szCs w:val="20"/>
              </w:rPr>
              <w:t>i více podniků</w:t>
            </w:r>
            <w:r w:rsidR="007C17E0">
              <w:rPr>
                <w:rFonts w:ascii="Arial" w:hAnsi="Arial" w:cs="Arial"/>
                <w:sz w:val="20"/>
                <w:szCs w:val="20"/>
              </w:rPr>
              <w:t xml:space="preserve"> může vykazovat vazby vertikální integrace. Úřad se domnívá, že </w:t>
            </w:r>
            <w:r w:rsidR="00CC4DEB">
              <w:rPr>
                <w:rFonts w:ascii="Arial" w:hAnsi="Arial" w:cs="Arial"/>
                <w:sz w:val="20"/>
                <w:szCs w:val="20"/>
              </w:rPr>
              <w:t>k</w:t>
            </w:r>
            <w:r w:rsidR="007C17E0">
              <w:rPr>
                <w:rFonts w:ascii="Arial" w:hAnsi="Arial" w:cs="Arial"/>
                <w:sz w:val="20"/>
                <w:szCs w:val="20"/>
              </w:rPr>
              <w:t xml:space="preserve"> takov</w:t>
            </w:r>
            <w:r w:rsidR="00CC4DEB">
              <w:rPr>
                <w:rFonts w:ascii="Arial" w:hAnsi="Arial" w:cs="Arial"/>
                <w:sz w:val="20"/>
                <w:szCs w:val="20"/>
              </w:rPr>
              <w:t>ýmto</w:t>
            </w:r>
            <w:r w:rsidR="007C17E0">
              <w:rPr>
                <w:rFonts w:ascii="Arial" w:hAnsi="Arial" w:cs="Arial"/>
                <w:sz w:val="20"/>
                <w:szCs w:val="20"/>
              </w:rPr>
              <w:t xml:space="preserve"> podnik</w:t>
            </w:r>
            <w:r w:rsidR="00CC4DEB">
              <w:rPr>
                <w:rFonts w:ascii="Arial" w:hAnsi="Arial" w:cs="Arial"/>
                <w:sz w:val="20"/>
                <w:szCs w:val="20"/>
              </w:rPr>
              <w:t>ům</w:t>
            </w:r>
            <w:r w:rsidR="007C17E0">
              <w:rPr>
                <w:rFonts w:ascii="Arial" w:hAnsi="Arial" w:cs="Arial"/>
                <w:sz w:val="20"/>
                <w:szCs w:val="20"/>
              </w:rPr>
              <w:t xml:space="preserve"> bude možn</w:t>
            </w:r>
            <w:r w:rsidR="00CC4DEB">
              <w:rPr>
                <w:rFonts w:ascii="Arial" w:hAnsi="Arial" w:cs="Arial"/>
                <w:sz w:val="20"/>
                <w:szCs w:val="20"/>
              </w:rPr>
              <w:t>é</w:t>
            </w:r>
            <w:r w:rsidR="007C17E0">
              <w:rPr>
                <w:rFonts w:ascii="Arial" w:hAnsi="Arial" w:cs="Arial"/>
                <w:sz w:val="20"/>
                <w:szCs w:val="20"/>
              </w:rPr>
              <w:t xml:space="preserve"> </w:t>
            </w:r>
            <w:r w:rsidR="00276CF2">
              <w:rPr>
                <w:rFonts w:ascii="Arial" w:hAnsi="Arial" w:cs="Arial"/>
                <w:sz w:val="20"/>
                <w:szCs w:val="20"/>
              </w:rPr>
              <w:t>při</w:t>
            </w:r>
            <w:r w:rsidR="007C17E0">
              <w:rPr>
                <w:rFonts w:ascii="Arial" w:hAnsi="Arial" w:cs="Arial"/>
                <w:sz w:val="20"/>
                <w:szCs w:val="20"/>
              </w:rPr>
              <w:t>stup</w:t>
            </w:r>
            <w:r w:rsidR="00CC4DEB">
              <w:rPr>
                <w:rFonts w:ascii="Arial" w:hAnsi="Arial" w:cs="Arial"/>
                <w:sz w:val="20"/>
                <w:szCs w:val="20"/>
              </w:rPr>
              <w:t>ovat</w:t>
            </w:r>
            <w:r w:rsidR="007C17E0">
              <w:rPr>
                <w:rFonts w:ascii="Arial" w:hAnsi="Arial" w:cs="Arial"/>
                <w:sz w:val="20"/>
                <w:szCs w:val="20"/>
              </w:rPr>
              <w:t xml:space="preserve"> jako k vertikálně integrovan</w:t>
            </w:r>
            <w:r w:rsidR="00BE7BAE">
              <w:rPr>
                <w:rFonts w:ascii="Arial" w:hAnsi="Arial" w:cs="Arial"/>
                <w:sz w:val="20"/>
                <w:szCs w:val="20"/>
              </w:rPr>
              <w:t>ým</w:t>
            </w:r>
            <w:r w:rsidR="007C17E0">
              <w:rPr>
                <w:rFonts w:ascii="Arial" w:hAnsi="Arial" w:cs="Arial"/>
                <w:sz w:val="20"/>
                <w:szCs w:val="20"/>
              </w:rPr>
              <w:t xml:space="preserve"> </w:t>
            </w:r>
            <w:r w:rsidR="00276CF2">
              <w:rPr>
                <w:rFonts w:ascii="Arial" w:hAnsi="Arial" w:cs="Arial"/>
                <w:sz w:val="20"/>
                <w:szCs w:val="20"/>
              </w:rPr>
              <w:t>podnik</w:t>
            </w:r>
            <w:r w:rsidR="00BE7BAE">
              <w:rPr>
                <w:rFonts w:ascii="Arial" w:hAnsi="Arial" w:cs="Arial"/>
                <w:sz w:val="20"/>
                <w:szCs w:val="20"/>
              </w:rPr>
              <w:t>ům</w:t>
            </w:r>
            <w:r w:rsidR="007C17E0">
              <w:rPr>
                <w:rFonts w:ascii="Arial" w:hAnsi="Arial" w:cs="Arial"/>
                <w:sz w:val="20"/>
                <w:szCs w:val="20"/>
              </w:rPr>
              <w:t>, avšak s některými metodologickými odchylkami</w:t>
            </w:r>
            <w:r w:rsidR="00BE7BAE">
              <w:rPr>
                <w:rFonts w:ascii="Arial" w:hAnsi="Arial" w:cs="Arial"/>
                <w:sz w:val="20"/>
                <w:szCs w:val="20"/>
              </w:rPr>
              <w:t xml:space="preserve"> oproti jednomu vertikálně integrovanému podniku</w:t>
            </w:r>
            <w:r w:rsidR="007C17E0">
              <w:rPr>
                <w:rFonts w:ascii="Arial" w:hAnsi="Arial" w:cs="Arial"/>
                <w:sz w:val="20"/>
                <w:szCs w:val="20"/>
              </w:rPr>
              <w:t xml:space="preserve">. </w:t>
            </w:r>
            <w:r w:rsidR="00CC4DEB">
              <w:rPr>
                <w:rFonts w:ascii="Arial" w:hAnsi="Arial" w:cs="Arial"/>
                <w:sz w:val="20"/>
                <w:szCs w:val="20"/>
              </w:rPr>
              <w:t xml:space="preserve">Zejména pak některá nápravná opatření předvídaná pro vertikálně integrované </w:t>
            </w:r>
            <w:r w:rsidR="00276CF2">
              <w:rPr>
                <w:rFonts w:ascii="Arial" w:hAnsi="Arial" w:cs="Arial"/>
                <w:sz w:val="20"/>
                <w:szCs w:val="20"/>
              </w:rPr>
              <w:t>podniky</w:t>
            </w:r>
            <w:r w:rsidR="00CC4DEB">
              <w:rPr>
                <w:rFonts w:ascii="Arial" w:hAnsi="Arial" w:cs="Arial"/>
                <w:sz w:val="20"/>
                <w:szCs w:val="20"/>
              </w:rPr>
              <w:t xml:space="preserve"> nebude možné nebo vhodné uložit v nezměněné podobě.</w:t>
            </w:r>
            <w:r w:rsidR="009E1C7D">
              <w:rPr>
                <w:rFonts w:ascii="Arial" w:hAnsi="Arial" w:cs="Arial"/>
                <w:sz w:val="20"/>
                <w:szCs w:val="20"/>
              </w:rPr>
              <w:t xml:space="preserve"> </w:t>
            </w:r>
            <w:r w:rsidR="00CC4DEB">
              <w:rPr>
                <w:rFonts w:ascii="Arial" w:hAnsi="Arial" w:cs="Arial"/>
                <w:sz w:val="20"/>
                <w:szCs w:val="20"/>
              </w:rPr>
              <w:t xml:space="preserve">Jedná se </w:t>
            </w:r>
            <w:r w:rsidR="00276CF2">
              <w:rPr>
                <w:rFonts w:ascii="Arial" w:hAnsi="Arial" w:cs="Arial"/>
                <w:sz w:val="20"/>
                <w:szCs w:val="20"/>
              </w:rPr>
              <w:t>napříkla</w:t>
            </w:r>
            <w:r w:rsidR="00BE7BAE">
              <w:rPr>
                <w:rFonts w:ascii="Arial" w:hAnsi="Arial" w:cs="Arial"/>
                <w:sz w:val="20"/>
                <w:szCs w:val="20"/>
              </w:rPr>
              <w:t>d</w:t>
            </w:r>
            <w:r w:rsidR="00CC4DEB">
              <w:rPr>
                <w:rFonts w:ascii="Arial" w:hAnsi="Arial" w:cs="Arial"/>
                <w:sz w:val="20"/>
                <w:szCs w:val="20"/>
              </w:rPr>
              <w:t xml:space="preserve"> o nápravné opatření</w:t>
            </w:r>
            <w:r w:rsidR="009E1C7D">
              <w:rPr>
                <w:rFonts w:ascii="Arial" w:hAnsi="Arial" w:cs="Arial"/>
                <w:sz w:val="20"/>
                <w:szCs w:val="20"/>
              </w:rPr>
              <w:t xml:space="preserve"> </w:t>
            </w:r>
            <w:r w:rsidR="0072344B">
              <w:rPr>
                <w:rFonts w:ascii="Arial" w:hAnsi="Arial" w:cs="Arial"/>
                <w:sz w:val="20"/>
                <w:szCs w:val="20"/>
              </w:rPr>
              <w:t xml:space="preserve">funkční separace </w:t>
            </w:r>
            <w:r w:rsidR="00CC4DEB">
              <w:rPr>
                <w:rFonts w:ascii="Arial" w:hAnsi="Arial" w:cs="Arial"/>
                <w:sz w:val="20"/>
                <w:szCs w:val="20"/>
              </w:rPr>
              <w:t xml:space="preserve">dle § </w:t>
            </w:r>
            <w:r w:rsidR="008A683D">
              <w:rPr>
                <w:rFonts w:ascii="Arial" w:hAnsi="Arial" w:cs="Arial"/>
                <w:sz w:val="20"/>
                <w:szCs w:val="20"/>
              </w:rPr>
              <w:t>86a z</w:t>
            </w:r>
            <w:r w:rsidR="00276CF2">
              <w:rPr>
                <w:rFonts w:ascii="Arial" w:hAnsi="Arial" w:cs="Arial"/>
                <w:sz w:val="20"/>
                <w:szCs w:val="20"/>
              </w:rPr>
              <w:t xml:space="preserve">ákona o elektronických </w:t>
            </w:r>
            <w:r w:rsidR="00276CF2" w:rsidRPr="00FA5506">
              <w:rPr>
                <w:rFonts w:ascii="Arial" w:hAnsi="Arial" w:cs="Arial"/>
                <w:sz w:val="20"/>
                <w:szCs w:val="20"/>
              </w:rPr>
              <w:t>komunikacích.</w:t>
            </w:r>
            <w:r w:rsidR="00276CF2">
              <w:rPr>
                <w:rFonts w:ascii="Arial" w:hAnsi="Arial" w:cs="Arial"/>
                <w:sz w:val="20"/>
                <w:szCs w:val="20"/>
              </w:rPr>
              <w:t xml:space="preserve"> </w:t>
            </w:r>
          </w:p>
          <w:p w14:paraId="045664B9" w14:textId="77777777" w:rsidR="00655785" w:rsidRPr="00655785" w:rsidRDefault="00655785" w:rsidP="00CD7A00">
            <w:pPr>
              <w:jc w:val="both"/>
              <w:rPr>
                <w:rFonts w:ascii="Arial" w:hAnsi="Arial" w:cs="Arial"/>
                <w:sz w:val="20"/>
                <w:szCs w:val="20"/>
              </w:rPr>
            </w:pPr>
          </w:p>
        </w:tc>
      </w:tr>
      <w:tr w:rsidR="00012DB6" w:rsidRPr="005B3003" w14:paraId="23D9C20E" w14:textId="77777777" w:rsidTr="00012DB6">
        <w:tc>
          <w:tcPr>
            <w:tcW w:w="1294" w:type="dxa"/>
          </w:tcPr>
          <w:p w14:paraId="159C5683" w14:textId="77777777" w:rsidR="00012DB6" w:rsidRDefault="00012DB6">
            <w:pPr>
              <w:rPr>
                <w:rFonts w:ascii="Arial" w:hAnsi="Arial" w:cs="Arial"/>
                <w:sz w:val="20"/>
                <w:szCs w:val="20"/>
              </w:rPr>
            </w:pPr>
            <w:r>
              <w:rPr>
                <w:rFonts w:ascii="Arial" w:hAnsi="Arial" w:cs="Arial"/>
                <w:sz w:val="20"/>
                <w:szCs w:val="20"/>
              </w:rPr>
              <w:t>VF</w:t>
            </w:r>
          </w:p>
          <w:p w14:paraId="41ACAC18" w14:textId="29AF9AA3" w:rsidR="00CC5B1D" w:rsidRPr="005B3003" w:rsidRDefault="00CC5B1D">
            <w:pPr>
              <w:rPr>
                <w:rFonts w:ascii="Arial" w:hAnsi="Arial" w:cs="Arial"/>
                <w:sz w:val="20"/>
                <w:szCs w:val="20"/>
              </w:rPr>
            </w:pPr>
            <w:r>
              <w:rPr>
                <w:rFonts w:ascii="Arial" w:hAnsi="Arial" w:cs="Arial"/>
                <w:sz w:val="20"/>
                <w:szCs w:val="20"/>
              </w:rPr>
              <w:t>(11)</w:t>
            </w:r>
          </w:p>
        </w:tc>
        <w:tc>
          <w:tcPr>
            <w:tcW w:w="1083" w:type="dxa"/>
          </w:tcPr>
          <w:p w14:paraId="1852F90D" w14:textId="77777777" w:rsidR="00012DB6" w:rsidRPr="005B3003" w:rsidRDefault="00012DB6">
            <w:pPr>
              <w:rPr>
                <w:rFonts w:ascii="Arial" w:hAnsi="Arial" w:cs="Arial"/>
                <w:sz w:val="20"/>
                <w:szCs w:val="20"/>
              </w:rPr>
            </w:pPr>
          </w:p>
        </w:tc>
        <w:tc>
          <w:tcPr>
            <w:tcW w:w="5810" w:type="dxa"/>
          </w:tcPr>
          <w:p w14:paraId="57F3CFEE" w14:textId="627D3C5E" w:rsidR="001F7409" w:rsidRPr="001F7409" w:rsidRDefault="001F7409" w:rsidP="009E1C7D">
            <w:pPr>
              <w:spacing w:after="120"/>
              <w:jc w:val="both"/>
              <w:rPr>
                <w:rFonts w:ascii="Arial" w:hAnsi="Arial" w:cs="Arial"/>
                <w:sz w:val="20"/>
                <w:szCs w:val="20"/>
              </w:rPr>
            </w:pPr>
            <w:r w:rsidRPr="001F7409">
              <w:rPr>
                <w:rFonts w:ascii="Arial" w:hAnsi="Arial" w:cs="Arial"/>
                <w:sz w:val="20"/>
                <w:szCs w:val="20"/>
              </w:rPr>
              <w:t xml:space="preserve">V části definice produktového trhu (řádek 229 </w:t>
            </w:r>
            <w:proofErr w:type="spellStart"/>
            <w:r w:rsidRPr="001F7409">
              <w:rPr>
                <w:rFonts w:ascii="Arial" w:hAnsi="Arial" w:cs="Arial"/>
                <w:sz w:val="20"/>
                <w:szCs w:val="20"/>
              </w:rPr>
              <w:t>an</w:t>
            </w:r>
            <w:proofErr w:type="spellEnd"/>
            <w:r w:rsidRPr="001F7409">
              <w:rPr>
                <w:rFonts w:ascii="Arial" w:hAnsi="Arial" w:cs="Arial"/>
                <w:sz w:val="20"/>
                <w:szCs w:val="20"/>
              </w:rPr>
              <w:t xml:space="preserve">.) ČTÚ argumentuje tím, že součástí věcného vymezení jsou pouze zaměnitelné nebo zastupitelné produkty. Úřad zde pomíjí otázku trhů, jejichž přirozenou vlastností je prodávat služby, které spolu souvisí, ačkoliv jednotlivé služby nemusí být v přímé zastupitelnosti („tzv. portfolio“). Příkladem takového „portfoliového“ trhu je Úřadem nedávno zkoumaný trh mobilní </w:t>
            </w:r>
            <w:proofErr w:type="spellStart"/>
            <w:r w:rsidRPr="001F7409">
              <w:rPr>
                <w:rFonts w:ascii="Arial" w:hAnsi="Arial" w:cs="Arial"/>
                <w:sz w:val="20"/>
                <w:szCs w:val="20"/>
              </w:rPr>
              <w:t>originace</w:t>
            </w:r>
            <w:proofErr w:type="spellEnd"/>
            <w:r w:rsidRPr="001F7409">
              <w:rPr>
                <w:rFonts w:ascii="Arial" w:hAnsi="Arial" w:cs="Arial"/>
                <w:sz w:val="20"/>
                <w:szCs w:val="20"/>
              </w:rPr>
              <w:t>, který zahrnuje několik produktů (mobilní volání, SMS, mobilní data).</w:t>
            </w:r>
          </w:p>
          <w:p w14:paraId="18E064D3" w14:textId="68393140" w:rsidR="001F7409" w:rsidRPr="001F7409" w:rsidRDefault="001F7409" w:rsidP="009E1C7D">
            <w:pPr>
              <w:spacing w:after="120"/>
              <w:jc w:val="both"/>
              <w:rPr>
                <w:rFonts w:ascii="Arial" w:hAnsi="Arial" w:cs="Arial"/>
                <w:sz w:val="20"/>
                <w:szCs w:val="20"/>
              </w:rPr>
            </w:pPr>
            <w:r w:rsidRPr="001F7409">
              <w:rPr>
                <w:rFonts w:ascii="Arial" w:hAnsi="Arial" w:cs="Arial"/>
                <w:sz w:val="20"/>
                <w:szCs w:val="20"/>
              </w:rPr>
              <w:t>Úřad se tedy v metodice nevypořádává s tím, z jakého důvodu jsou takové produkty součástí jednoho trhu, neboť se zjevně nejedná o zastupitelnost na straně poptávky. Jedním z možných vysvětlení je zastupitelnost na</w:t>
            </w:r>
            <w:r w:rsidR="00D95F58">
              <w:rPr>
                <w:rFonts w:ascii="Arial" w:hAnsi="Arial" w:cs="Arial"/>
                <w:sz w:val="20"/>
                <w:szCs w:val="20"/>
              </w:rPr>
              <w:t xml:space="preserve"> straně nabídky. Úřad se však v </w:t>
            </w:r>
            <w:r w:rsidRPr="001F7409">
              <w:rPr>
                <w:rFonts w:ascii="Arial" w:hAnsi="Arial" w:cs="Arial"/>
                <w:sz w:val="20"/>
                <w:szCs w:val="20"/>
              </w:rPr>
              <w:t>metodice nevypořádává a</w:t>
            </w:r>
            <w:bookmarkStart w:id="0" w:name="_GoBack"/>
            <w:bookmarkEnd w:id="0"/>
            <w:r w:rsidRPr="001F7409">
              <w:rPr>
                <w:rFonts w:ascii="Arial" w:hAnsi="Arial" w:cs="Arial"/>
                <w:sz w:val="20"/>
                <w:szCs w:val="20"/>
              </w:rPr>
              <w:t>ni s tím, jestli takové produkty jsou součástí jednoho trhu z důvodu zastupitelnosti na straně nabídky.</w:t>
            </w:r>
          </w:p>
          <w:p w14:paraId="42292EFB" w14:textId="070E0AC0" w:rsidR="00012DB6" w:rsidRPr="00655785" w:rsidRDefault="001F7409" w:rsidP="001F7409">
            <w:pPr>
              <w:jc w:val="both"/>
              <w:rPr>
                <w:rFonts w:ascii="Arial" w:hAnsi="Arial" w:cs="Arial"/>
                <w:sz w:val="20"/>
                <w:szCs w:val="20"/>
              </w:rPr>
            </w:pPr>
            <w:r w:rsidRPr="001F7409">
              <w:rPr>
                <w:rFonts w:ascii="Arial" w:hAnsi="Arial" w:cs="Arial"/>
                <w:sz w:val="20"/>
                <w:szCs w:val="20"/>
              </w:rPr>
              <w:t xml:space="preserve">Úřad na řádku 379 uvádí, že rozlišuje mezi zastupitelností na straně nabídky a zcela novým vstupem na trh. Lze připodobnit, že např. trh mobilní </w:t>
            </w:r>
            <w:proofErr w:type="spellStart"/>
            <w:r w:rsidRPr="001F7409">
              <w:rPr>
                <w:rFonts w:ascii="Arial" w:hAnsi="Arial" w:cs="Arial"/>
                <w:sz w:val="20"/>
                <w:szCs w:val="20"/>
              </w:rPr>
              <w:t>originace</w:t>
            </w:r>
            <w:proofErr w:type="spellEnd"/>
            <w:r w:rsidRPr="001F7409">
              <w:rPr>
                <w:rFonts w:ascii="Arial" w:hAnsi="Arial" w:cs="Arial"/>
                <w:sz w:val="20"/>
                <w:szCs w:val="20"/>
              </w:rPr>
              <w:t xml:space="preserve"> zahrnuje všechny uvedené produkty z důvodu malých inkrementálních nákladů mezi variantou vstupu na trh s jedním samostatným produktem nebo s více produkty. Zároveň poskytovatelé již vlastní veškeré prostředky (výrobní, produ</w:t>
            </w:r>
            <w:r w:rsidR="00D95F58">
              <w:rPr>
                <w:rFonts w:ascii="Arial" w:hAnsi="Arial" w:cs="Arial"/>
                <w:sz w:val="20"/>
                <w:szCs w:val="20"/>
              </w:rPr>
              <w:t>kční a marketingové) potřebné k </w:t>
            </w:r>
            <w:r w:rsidRPr="001F7409">
              <w:rPr>
                <w:rFonts w:ascii="Arial" w:hAnsi="Arial" w:cs="Arial"/>
                <w:sz w:val="20"/>
                <w:szCs w:val="20"/>
              </w:rPr>
              <w:t>zahájení poskytování souboru všech těchto služeb. Při převedení prostředků na poskytování jiné služby (z daného portfolia) v důsledku zvýšení ceny poskytovatelům nevznikají podstatné dodatečné náklady a nepodstupují významná rizika, na</w:t>
            </w:r>
            <w:r w:rsidR="00D95F58">
              <w:rPr>
                <w:rFonts w:ascii="Arial" w:hAnsi="Arial" w:cs="Arial"/>
                <w:sz w:val="20"/>
                <w:szCs w:val="20"/>
              </w:rPr>
              <w:t xml:space="preserve"> </w:t>
            </w:r>
            <w:r w:rsidRPr="001F7409">
              <w:rPr>
                <w:rFonts w:ascii="Arial" w:hAnsi="Arial" w:cs="Arial"/>
                <w:sz w:val="20"/>
                <w:szCs w:val="20"/>
              </w:rPr>
              <w:t>rozdíl od vstupu na celkově nový trh.</w:t>
            </w:r>
            <w:r>
              <w:rPr>
                <w:rFonts w:ascii="Arial" w:hAnsi="Arial" w:cs="Arial"/>
                <w:sz w:val="20"/>
                <w:szCs w:val="20"/>
              </w:rPr>
              <w:t xml:space="preserve"> </w:t>
            </w:r>
            <w:r w:rsidR="00D14A04" w:rsidRPr="00D14A04">
              <w:rPr>
                <w:rFonts w:ascii="Arial" w:hAnsi="Arial" w:cs="Arial"/>
                <w:sz w:val="20"/>
                <w:szCs w:val="20"/>
              </w:rPr>
              <w:t>Vodafone navrhuje, aby Úřad postavil otázku portfoliových trhů najisto a do metodiky doplnil související metodická východiska.</w:t>
            </w:r>
          </w:p>
        </w:tc>
        <w:tc>
          <w:tcPr>
            <w:tcW w:w="5807" w:type="dxa"/>
          </w:tcPr>
          <w:p w14:paraId="25ED8A3D" w14:textId="77777777" w:rsidR="00012DB6" w:rsidRDefault="001F7409" w:rsidP="00012DB6">
            <w:pPr>
              <w:spacing w:after="120"/>
              <w:jc w:val="both"/>
              <w:rPr>
                <w:rFonts w:ascii="Arial" w:hAnsi="Arial" w:cs="Arial"/>
                <w:b/>
                <w:sz w:val="20"/>
                <w:szCs w:val="20"/>
              </w:rPr>
            </w:pPr>
            <w:r>
              <w:rPr>
                <w:rFonts w:ascii="Arial" w:hAnsi="Arial" w:cs="Arial"/>
                <w:b/>
                <w:sz w:val="20"/>
                <w:szCs w:val="20"/>
              </w:rPr>
              <w:t xml:space="preserve">Neakceptováno. </w:t>
            </w:r>
          </w:p>
          <w:p w14:paraId="09F760E5" w14:textId="7F282A5E" w:rsidR="0081676D" w:rsidRDefault="00CB335A" w:rsidP="00CB335A">
            <w:pPr>
              <w:spacing w:after="120"/>
              <w:jc w:val="both"/>
              <w:rPr>
                <w:rFonts w:ascii="Arial" w:hAnsi="Arial" w:cs="Arial"/>
                <w:sz w:val="20"/>
                <w:szCs w:val="20"/>
              </w:rPr>
            </w:pPr>
            <w:r>
              <w:rPr>
                <w:rFonts w:ascii="Arial" w:hAnsi="Arial" w:cs="Arial"/>
                <w:sz w:val="20"/>
                <w:szCs w:val="20"/>
              </w:rPr>
              <w:t>Velkoobchodní služby přístupu a původu volání v mobilních sítích jsou dlouhodobě považov</w:t>
            </w:r>
            <w:r w:rsidR="00CC7F54">
              <w:rPr>
                <w:rFonts w:ascii="Arial" w:hAnsi="Arial" w:cs="Arial"/>
                <w:sz w:val="20"/>
                <w:szCs w:val="20"/>
              </w:rPr>
              <w:t>á</w:t>
            </w:r>
            <w:r>
              <w:rPr>
                <w:rFonts w:ascii="Arial" w:hAnsi="Arial" w:cs="Arial"/>
                <w:sz w:val="20"/>
                <w:szCs w:val="20"/>
              </w:rPr>
              <w:t>n</w:t>
            </w:r>
            <w:r w:rsidR="00CC7F54">
              <w:rPr>
                <w:rFonts w:ascii="Arial" w:hAnsi="Arial" w:cs="Arial"/>
                <w:sz w:val="20"/>
                <w:szCs w:val="20"/>
              </w:rPr>
              <w:t>y</w:t>
            </w:r>
            <w:r>
              <w:rPr>
                <w:rFonts w:ascii="Arial" w:hAnsi="Arial" w:cs="Arial"/>
                <w:sz w:val="20"/>
                <w:szCs w:val="20"/>
              </w:rPr>
              <w:t xml:space="preserve"> za</w:t>
            </w:r>
            <w:r w:rsidR="00CC7F54">
              <w:rPr>
                <w:rFonts w:ascii="Arial" w:hAnsi="Arial" w:cs="Arial"/>
                <w:sz w:val="20"/>
                <w:szCs w:val="20"/>
              </w:rPr>
              <w:t xml:space="preserve"> patřící na</w:t>
            </w:r>
            <w:r>
              <w:rPr>
                <w:rFonts w:ascii="Arial" w:hAnsi="Arial" w:cs="Arial"/>
                <w:sz w:val="20"/>
                <w:szCs w:val="20"/>
              </w:rPr>
              <w:t xml:space="preserve"> jeden produktový trh z</w:t>
            </w:r>
            <w:r w:rsidR="00CC7F54">
              <w:rPr>
                <w:rFonts w:ascii="Arial" w:hAnsi="Arial" w:cs="Arial"/>
                <w:sz w:val="20"/>
                <w:szCs w:val="20"/>
              </w:rPr>
              <w:t>e strany Úřadu i</w:t>
            </w:r>
            <w:r>
              <w:rPr>
                <w:rFonts w:ascii="Arial" w:hAnsi="Arial" w:cs="Arial"/>
                <w:sz w:val="20"/>
                <w:szCs w:val="20"/>
              </w:rPr>
              <w:t xml:space="preserve"> Komise</w:t>
            </w:r>
            <w:r w:rsidR="00CC7F54">
              <w:rPr>
                <w:rStyle w:val="Znakapoznpodarou"/>
                <w:rFonts w:ascii="Arial" w:hAnsi="Arial" w:cs="Arial"/>
                <w:sz w:val="20"/>
                <w:szCs w:val="20"/>
              </w:rPr>
              <w:footnoteReference w:id="1"/>
            </w:r>
            <w:r w:rsidR="00CC7F54">
              <w:rPr>
                <w:rFonts w:ascii="Arial" w:hAnsi="Arial" w:cs="Arial"/>
                <w:sz w:val="20"/>
                <w:szCs w:val="20"/>
              </w:rPr>
              <w:t>.</w:t>
            </w:r>
            <w:r>
              <w:rPr>
                <w:rFonts w:ascii="Arial" w:hAnsi="Arial" w:cs="Arial"/>
                <w:sz w:val="20"/>
                <w:szCs w:val="20"/>
              </w:rPr>
              <w:t xml:space="preserve"> Důvodem je, že tyto služby </w:t>
            </w:r>
            <w:r w:rsidR="00893354">
              <w:rPr>
                <w:rFonts w:ascii="Arial" w:hAnsi="Arial" w:cs="Arial"/>
                <w:sz w:val="20"/>
                <w:szCs w:val="20"/>
              </w:rPr>
              <w:t xml:space="preserve">jsou </w:t>
            </w:r>
            <w:r>
              <w:rPr>
                <w:rFonts w:ascii="Arial" w:hAnsi="Arial" w:cs="Arial"/>
                <w:sz w:val="20"/>
                <w:szCs w:val="20"/>
              </w:rPr>
              <w:t>na velkoobchodním trhu</w:t>
            </w:r>
            <w:r w:rsidR="00893354">
              <w:rPr>
                <w:rFonts w:ascii="Arial" w:hAnsi="Arial" w:cs="Arial"/>
                <w:sz w:val="20"/>
                <w:szCs w:val="20"/>
              </w:rPr>
              <w:t xml:space="preserve"> (z pohledu </w:t>
            </w:r>
            <w:proofErr w:type="spellStart"/>
            <w:r w:rsidR="00893354">
              <w:rPr>
                <w:rFonts w:ascii="Arial" w:hAnsi="Arial" w:cs="Arial"/>
                <w:sz w:val="20"/>
                <w:szCs w:val="20"/>
              </w:rPr>
              <w:t>MVNOs</w:t>
            </w:r>
            <w:proofErr w:type="spellEnd"/>
            <w:r w:rsidR="00893354">
              <w:rPr>
                <w:rFonts w:ascii="Arial" w:hAnsi="Arial" w:cs="Arial"/>
                <w:sz w:val="20"/>
                <w:szCs w:val="20"/>
              </w:rPr>
              <w:t>)</w:t>
            </w:r>
            <w:r>
              <w:rPr>
                <w:rFonts w:ascii="Arial" w:hAnsi="Arial" w:cs="Arial"/>
                <w:sz w:val="20"/>
                <w:szCs w:val="20"/>
              </w:rPr>
              <w:t xml:space="preserve"> </w:t>
            </w:r>
            <w:r w:rsidR="00893354">
              <w:rPr>
                <w:rFonts w:ascii="Arial" w:hAnsi="Arial" w:cs="Arial"/>
                <w:sz w:val="20"/>
                <w:szCs w:val="20"/>
              </w:rPr>
              <w:t>i na maloobchodním trhu (z pohledu koncových uživatelů) nabízeny a poptávány současně jako</w:t>
            </w:r>
            <w:r>
              <w:rPr>
                <w:rFonts w:ascii="Arial" w:hAnsi="Arial" w:cs="Arial"/>
                <w:sz w:val="20"/>
                <w:szCs w:val="20"/>
              </w:rPr>
              <w:t xml:space="preserve"> b</w:t>
            </w:r>
            <w:r w:rsidR="00893354">
              <w:rPr>
                <w:rFonts w:ascii="Arial" w:hAnsi="Arial" w:cs="Arial"/>
                <w:sz w:val="20"/>
                <w:szCs w:val="20"/>
              </w:rPr>
              <w:t>alíček</w:t>
            </w:r>
            <w:r>
              <w:rPr>
                <w:rFonts w:ascii="Arial" w:hAnsi="Arial" w:cs="Arial"/>
                <w:sz w:val="20"/>
                <w:szCs w:val="20"/>
              </w:rPr>
              <w:t xml:space="preserve">. </w:t>
            </w:r>
            <w:r w:rsidR="0081676D">
              <w:rPr>
                <w:rFonts w:ascii="Arial" w:hAnsi="Arial" w:cs="Arial"/>
                <w:sz w:val="20"/>
                <w:szCs w:val="20"/>
              </w:rPr>
              <w:t>Proto lze velkoobchodní vstupy považovat za přítomné na jednom relevantním produktovém trhu</w:t>
            </w:r>
            <w:r w:rsidR="00CC7F54">
              <w:rPr>
                <w:rFonts w:ascii="Arial" w:hAnsi="Arial" w:cs="Arial"/>
                <w:sz w:val="20"/>
                <w:szCs w:val="20"/>
              </w:rPr>
              <w:t xml:space="preserve"> a pohlížet na </w:t>
            </w:r>
            <w:r w:rsidR="00D95F58">
              <w:rPr>
                <w:rFonts w:ascii="Arial" w:hAnsi="Arial" w:cs="Arial"/>
                <w:sz w:val="20"/>
                <w:szCs w:val="20"/>
              </w:rPr>
              <w:t>ně jako na balíček (řádek 281 a </w:t>
            </w:r>
            <w:r w:rsidR="00CC7F54">
              <w:rPr>
                <w:rFonts w:ascii="Arial" w:hAnsi="Arial" w:cs="Arial"/>
                <w:sz w:val="20"/>
                <w:szCs w:val="20"/>
              </w:rPr>
              <w:t>násl. metodiky)</w:t>
            </w:r>
            <w:r w:rsidR="0081676D">
              <w:rPr>
                <w:rFonts w:ascii="Arial" w:hAnsi="Arial" w:cs="Arial"/>
                <w:sz w:val="20"/>
                <w:szCs w:val="20"/>
              </w:rPr>
              <w:t>.</w:t>
            </w:r>
            <w:r w:rsidR="00CC7F54">
              <w:rPr>
                <w:rFonts w:ascii="Arial" w:hAnsi="Arial" w:cs="Arial"/>
                <w:sz w:val="20"/>
                <w:szCs w:val="20"/>
              </w:rPr>
              <w:t xml:space="preserve"> Není proto nutné znění metodiky upravovat.</w:t>
            </w:r>
            <w:r w:rsidR="009E1C7D">
              <w:rPr>
                <w:rFonts w:ascii="Arial" w:hAnsi="Arial" w:cs="Arial"/>
                <w:sz w:val="20"/>
                <w:szCs w:val="20"/>
              </w:rPr>
              <w:t xml:space="preserve"> </w:t>
            </w:r>
          </w:p>
          <w:p w14:paraId="7F96B1D5" w14:textId="74837CD7" w:rsidR="0081676D" w:rsidRPr="00AB7C49" w:rsidRDefault="0081676D" w:rsidP="00CB335A">
            <w:pPr>
              <w:spacing w:after="120"/>
              <w:jc w:val="both"/>
              <w:rPr>
                <w:rFonts w:ascii="Arial" w:hAnsi="Arial" w:cs="Arial"/>
                <w:sz w:val="20"/>
                <w:szCs w:val="20"/>
              </w:rPr>
            </w:pPr>
            <w:r w:rsidRPr="00AB7C49">
              <w:rPr>
                <w:rFonts w:ascii="Arial" w:hAnsi="Arial" w:cs="Arial"/>
                <w:sz w:val="20"/>
                <w:szCs w:val="20"/>
              </w:rPr>
              <w:t>Zastupitelnost z pohledu nabídky nebude v tomto případě pravděpodobně relevantní, neboť poskytovatelé služeb přístupu i původu volání dané služby již poskytují</w:t>
            </w:r>
            <w:r w:rsidR="00CC7F54" w:rsidRPr="00AB7C49">
              <w:rPr>
                <w:rFonts w:ascii="Arial" w:hAnsi="Arial" w:cs="Arial"/>
                <w:sz w:val="20"/>
                <w:szCs w:val="20"/>
              </w:rPr>
              <w:t>.</w:t>
            </w:r>
            <w:r w:rsidRPr="00AB7C49">
              <w:rPr>
                <w:rFonts w:ascii="Arial" w:hAnsi="Arial" w:cs="Arial"/>
                <w:sz w:val="20"/>
                <w:szCs w:val="20"/>
              </w:rPr>
              <w:t xml:space="preserve"> </w:t>
            </w:r>
          </w:p>
          <w:p w14:paraId="40FC230F" w14:textId="6CB82CE9" w:rsidR="001F7409" w:rsidRPr="001F7409" w:rsidRDefault="00AB7C49" w:rsidP="00AB7C49">
            <w:pPr>
              <w:spacing w:after="120"/>
              <w:jc w:val="both"/>
              <w:rPr>
                <w:rFonts w:ascii="Arial" w:hAnsi="Arial" w:cs="Arial"/>
                <w:sz w:val="20"/>
                <w:szCs w:val="20"/>
              </w:rPr>
            </w:pPr>
            <w:r>
              <w:rPr>
                <w:rFonts w:ascii="Arial" w:hAnsi="Arial" w:cs="Arial"/>
                <w:sz w:val="20"/>
                <w:szCs w:val="20"/>
              </w:rPr>
              <w:t>Kritérium z</w:t>
            </w:r>
            <w:r w:rsidR="0081676D" w:rsidRPr="00AB7C49">
              <w:rPr>
                <w:rFonts w:ascii="Arial" w:hAnsi="Arial" w:cs="Arial"/>
                <w:sz w:val="20"/>
                <w:szCs w:val="20"/>
              </w:rPr>
              <w:t>astupitelnost</w:t>
            </w:r>
            <w:r>
              <w:rPr>
                <w:rFonts w:ascii="Arial" w:hAnsi="Arial" w:cs="Arial"/>
                <w:sz w:val="20"/>
                <w:szCs w:val="20"/>
              </w:rPr>
              <w:t>i</w:t>
            </w:r>
            <w:r w:rsidR="0081676D" w:rsidRPr="00AB7C49">
              <w:rPr>
                <w:rFonts w:ascii="Arial" w:hAnsi="Arial" w:cs="Arial"/>
                <w:sz w:val="20"/>
                <w:szCs w:val="20"/>
              </w:rPr>
              <w:t xml:space="preserve"> na straně nabídky však </w:t>
            </w:r>
            <w:r>
              <w:rPr>
                <w:rFonts w:ascii="Arial" w:hAnsi="Arial" w:cs="Arial"/>
                <w:sz w:val="20"/>
                <w:szCs w:val="20"/>
              </w:rPr>
              <w:t>může být relevantní</w:t>
            </w:r>
            <w:r w:rsidR="0081676D" w:rsidRPr="00AB7C49">
              <w:rPr>
                <w:rFonts w:ascii="Arial" w:hAnsi="Arial" w:cs="Arial"/>
                <w:sz w:val="20"/>
                <w:szCs w:val="20"/>
              </w:rPr>
              <w:t xml:space="preserve"> při vymezení jiných trhů.</w:t>
            </w:r>
            <w:r w:rsidR="009E1C7D">
              <w:rPr>
                <w:rFonts w:ascii="Arial" w:hAnsi="Arial" w:cs="Arial"/>
                <w:sz w:val="20"/>
                <w:szCs w:val="20"/>
              </w:rPr>
              <w:t xml:space="preserve"> </w:t>
            </w:r>
          </w:p>
        </w:tc>
      </w:tr>
      <w:tr w:rsidR="00012DB6" w:rsidRPr="005B3003" w14:paraId="55DB4C2F" w14:textId="77777777" w:rsidTr="00012DB6">
        <w:tc>
          <w:tcPr>
            <w:tcW w:w="1294" w:type="dxa"/>
          </w:tcPr>
          <w:p w14:paraId="50CC17C9" w14:textId="219F076A" w:rsidR="00012DB6" w:rsidRDefault="003A7B85">
            <w:pPr>
              <w:rPr>
                <w:rFonts w:ascii="Arial" w:hAnsi="Arial" w:cs="Arial"/>
                <w:sz w:val="20"/>
                <w:szCs w:val="20"/>
              </w:rPr>
            </w:pPr>
            <w:r>
              <w:rPr>
                <w:rFonts w:ascii="Arial" w:hAnsi="Arial" w:cs="Arial"/>
                <w:sz w:val="20"/>
                <w:szCs w:val="20"/>
              </w:rPr>
              <w:t>VF</w:t>
            </w:r>
          </w:p>
          <w:p w14:paraId="73F65120" w14:textId="40B9592E" w:rsidR="00CC5B1D" w:rsidRDefault="00CC5B1D">
            <w:pPr>
              <w:rPr>
                <w:rFonts w:ascii="Arial" w:hAnsi="Arial" w:cs="Arial"/>
                <w:sz w:val="20"/>
                <w:szCs w:val="20"/>
              </w:rPr>
            </w:pPr>
            <w:r>
              <w:rPr>
                <w:rFonts w:ascii="Arial" w:hAnsi="Arial" w:cs="Arial"/>
                <w:sz w:val="20"/>
                <w:szCs w:val="20"/>
              </w:rPr>
              <w:t>(12)</w:t>
            </w:r>
          </w:p>
        </w:tc>
        <w:tc>
          <w:tcPr>
            <w:tcW w:w="1083" w:type="dxa"/>
          </w:tcPr>
          <w:p w14:paraId="4B9321C0" w14:textId="77777777" w:rsidR="00012DB6" w:rsidRPr="005B3003" w:rsidRDefault="00012DB6">
            <w:pPr>
              <w:rPr>
                <w:rFonts w:ascii="Arial" w:hAnsi="Arial" w:cs="Arial"/>
                <w:sz w:val="20"/>
                <w:szCs w:val="20"/>
              </w:rPr>
            </w:pPr>
          </w:p>
        </w:tc>
        <w:tc>
          <w:tcPr>
            <w:tcW w:w="5810" w:type="dxa"/>
          </w:tcPr>
          <w:p w14:paraId="3AD828E0" w14:textId="1DB8F80C" w:rsidR="00D14A04" w:rsidRDefault="009E1C7D" w:rsidP="009E1C7D">
            <w:pPr>
              <w:spacing w:after="120"/>
              <w:jc w:val="both"/>
              <w:rPr>
                <w:rFonts w:ascii="Arial" w:hAnsi="Arial" w:cs="Arial"/>
                <w:sz w:val="20"/>
                <w:szCs w:val="20"/>
              </w:rPr>
            </w:pPr>
            <w:r>
              <w:rPr>
                <w:rFonts w:ascii="Arial" w:hAnsi="Arial" w:cs="Arial"/>
                <w:sz w:val="20"/>
                <w:szCs w:val="20"/>
              </w:rPr>
              <w:t>(…)</w:t>
            </w:r>
          </w:p>
          <w:p w14:paraId="11A4E32F" w14:textId="4BF9EF71" w:rsidR="00012DB6" w:rsidRPr="00655785" w:rsidRDefault="00D14A04" w:rsidP="00655785">
            <w:pPr>
              <w:jc w:val="both"/>
              <w:rPr>
                <w:rFonts w:ascii="Arial" w:hAnsi="Arial" w:cs="Arial"/>
                <w:sz w:val="20"/>
                <w:szCs w:val="20"/>
              </w:rPr>
            </w:pPr>
            <w:r w:rsidRPr="00D14A04">
              <w:rPr>
                <w:rFonts w:ascii="Arial" w:hAnsi="Arial" w:cs="Arial"/>
                <w:sz w:val="20"/>
                <w:szCs w:val="20"/>
              </w:rPr>
              <w:t>Aby zdánlivý rozpor mezi těmito tvrzeními byl vyvrácen, navrhuje společnost Vodafone, aby bylo postaveno najisto, že zohlednění takového propojení s jinými osobami má význam pro hodnocení úrovně soutěže a určování existence podniku s významnou tržní silou (SMP). Konkrétně by mělo být doplněna část Vertikální integrace (viz řádek 854), která pro posouzení míry vertikální integrace nepočítá s jinou variantou než „plně integrovaného operátora“. Smyslem takového doplnění by mělo být, že bude posuzována konkrétní míra vertikální integrace (separ</w:t>
            </w:r>
            <w:r w:rsidR="00D95F58">
              <w:rPr>
                <w:rFonts w:ascii="Arial" w:hAnsi="Arial" w:cs="Arial"/>
                <w:sz w:val="20"/>
                <w:szCs w:val="20"/>
              </w:rPr>
              <w:t>ace) a možné efekty takové inte</w:t>
            </w:r>
            <w:r w:rsidRPr="00D14A04">
              <w:rPr>
                <w:rFonts w:ascii="Arial" w:hAnsi="Arial" w:cs="Arial"/>
                <w:sz w:val="20"/>
                <w:szCs w:val="20"/>
              </w:rPr>
              <w:t xml:space="preserve">grace, resp. separace na trh a pozici domnělého </w:t>
            </w:r>
            <w:proofErr w:type="gramStart"/>
            <w:r w:rsidRPr="00D14A04">
              <w:rPr>
                <w:rFonts w:ascii="Arial" w:hAnsi="Arial" w:cs="Arial"/>
                <w:sz w:val="20"/>
                <w:szCs w:val="20"/>
              </w:rPr>
              <w:t>podniku s SMP</w:t>
            </w:r>
            <w:proofErr w:type="gramEnd"/>
            <w:r w:rsidRPr="00D14A04">
              <w:rPr>
                <w:rFonts w:ascii="Arial" w:hAnsi="Arial" w:cs="Arial"/>
                <w:sz w:val="20"/>
                <w:szCs w:val="20"/>
              </w:rPr>
              <w:t>. Důvodem pro tento přístup je větší pravděpodobnost koordinace a výměna citlivých informací s jiným významným subjektem na trhu (např. sesterskou společností), a toto může nasvědčovat k dominanci na maloobchodním nebo velkoobchodním trhu.</w:t>
            </w:r>
          </w:p>
        </w:tc>
        <w:tc>
          <w:tcPr>
            <w:tcW w:w="5807" w:type="dxa"/>
          </w:tcPr>
          <w:p w14:paraId="7DAC3253" w14:textId="5480A6D1" w:rsidR="00012DB6" w:rsidRDefault="00C66442" w:rsidP="00012DB6">
            <w:pPr>
              <w:spacing w:after="120"/>
              <w:jc w:val="both"/>
              <w:rPr>
                <w:rFonts w:ascii="Arial" w:hAnsi="Arial" w:cs="Arial"/>
                <w:b/>
                <w:sz w:val="20"/>
                <w:szCs w:val="20"/>
              </w:rPr>
            </w:pPr>
            <w:r>
              <w:rPr>
                <w:rFonts w:ascii="Arial" w:hAnsi="Arial" w:cs="Arial"/>
                <w:b/>
                <w:sz w:val="20"/>
                <w:szCs w:val="20"/>
              </w:rPr>
              <w:t>Vysvětleno</w:t>
            </w:r>
            <w:r w:rsidR="00D14A04">
              <w:rPr>
                <w:rFonts w:ascii="Arial" w:hAnsi="Arial" w:cs="Arial"/>
                <w:b/>
                <w:sz w:val="20"/>
                <w:szCs w:val="20"/>
              </w:rPr>
              <w:t xml:space="preserve">. </w:t>
            </w:r>
          </w:p>
          <w:p w14:paraId="52139974" w14:textId="00CE976B" w:rsidR="00D14A04" w:rsidRDefault="00D14A04" w:rsidP="00012DB6">
            <w:pPr>
              <w:spacing w:after="120"/>
              <w:jc w:val="both"/>
              <w:rPr>
                <w:rFonts w:ascii="Arial" w:hAnsi="Arial" w:cs="Arial"/>
                <w:sz w:val="20"/>
                <w:szCs w:val="20"/>
              </w:rPr>
            </w:pPr>
            <w:r>
              <w:rPr>
                <w:rFonts w:ascii="Arial" w:hAnsi="Arial" w:cs="Arial"/>
                <w:sz w:val="20"/>
                <w:szCs w:val="20"/>
              </w:rPr>
              <w:t>Úřad odka</w:t>
            </w:r>
            <w:r w:rsidR="00D95F58">
              <w:rPr>
                <w:rFonts w:ascii="Arial" w:hAnsi="Arial" w:cs="Arial"/>
                <w:sz w:val="20"/>
                <w:szCs w:val="20"/>
              </w:rPr>
              <w:t>zuje na vypořádání připomínek 6 (</w:t>
            </w:r>
            <w:r>
              <w:rPr>
                <w:rFonts w:ascii="Arial" w:hAnsi="Arial" w:cs="Arial"/>
                <w:sz w:val="20"/>
                <w:szCs w:val="20"/>
              </w:rPr>
              <w:t>CETIN</w:t>
            </w:r>
            <w:r w:rsidR="00D95F58">
              <w:rPr>
                <w:rFonts w:ascii="Arial" w:hAnsi="Arial" w:cs="Arial"/>
                <w:sz w:val="20"/>
                <w:szCs w:val="20"/>
              </w:rPr>
              <w:t>) a 10 (</w:t>
            </w:r>
            <w:r>
              <w:rPr>
                <w:rFonts w:ascii="Arial" w:hAnsi="Arial" w:cs="Arial"/>
                <w:sz w:val="20"/>
                <w:szCs w:val="20"/>
              </w:rPr>
              <w:t>TMO</w:t>
            </w:r>
            <w:r w:rsidR="00D95F58">
              <w:rPr>
                <w:rFonts w:ascii="Arial" w:hAnsi="Arial" w:cs="Arial"/>
                <w:sz w:val="20"/>
                <w:szCs w:val="20"/>
              </w:rPr>
              <w:t>)</w:t>
            </w:r>
            <w:r>
              <w:rPr>
                <w:rFonts w:ascii="Arial" w:hAnsi="Arial" w:cs="Arial"/>
                <w:sz w:val="20"/>
                <w:szCs w:val="20"/>
              </w:rPr>
              <w:t xml:space="preserve"> výše.</w:t>
            </w:r>
          </w:p>
          <w:p w14:paraId="54F2E85B" w14:textId="6AD97BA0" w:rsidR="00D14A04" w:rsidRPr="00A225DB" w:rsidRDefault="00D14A04" w:rsidP="00012DB6">
            <w:pPr>
              <w:spacing w:after="120"/>
              <w:jc w:val="both"/>
              <w:rPr>
                <w:rFonts w:ascii="Arial" w:hAnsi="Arial" w:cs="Arial"/>
                <w:sz w:val="20"/>
                <w:szCs w:val="20"/>
              </w:rPr>
            </w:pPr>
            <w:r w:rsidRPr="00A225DB">
              <w:rPr>
                <w:rFonts w:ascii="Arial" w:hAnsi="Arial" w:cs="Arial"/>
                <w:sz w:val="20"/>
                <w:szCs w:val="20"/>
              </w:rPr>
              <w:t>Úřad k majetkovým a strukturálním vazbám</w:t>
            </w:r>
            <w:r w:rsidR="00AB7C49" w:rsidRPr="00455D34">
              <w:rPr>
                <w:rFonts w:ascii="Arial" w:hAnsi="Arial" w:cs="Arial"/>
                <w:sz w:val="20"/>
                <w:szCs w:val="20"/>
              </w:rPr>
              <w:t xml:space="preserve"> přihlíží zejména při</w:t>
            </w:r>
            <w:r w:rsidRPr="00A225DB">
              <w:rPr>
                <w:rFonts w:ascii="Arial" w:hAnsi="Arial" w:cs="Arial"/>
                <w:sz w:val="20"/>
                <w:szCs w:val="20"/>
              </w:rPr>
              <w:t xml:space="preserve">: </w:t>
            </w:r>
          </w:p>
          <w:p w14:paraId="05C8D682" w14:textId="77777777" w:rsidR="00D14A04" w:rsidRPr="00A225DB" w:rsidRDefault="00D14A04" w:rsidP="00455D34">
            <w:pPr>
              <w:pStyle w:val="Odstavecseseznamem"/>
              <w:numPr>
                <w:ilvl w:val="0"/>
                <w:numId w:val="1"/>
              </w:numPr>
              <w:spacing w:after="120"/>
              <w:jc w:val="both"/>
              <w:rPr>
                <w:rFonts w:ascii="Arial" w:hAnsi="Arial" w:cs="Arial"/>
                <w:sz w:val="20"/>
                <w:szCs w:val="20"/>
              </w:rPr>
            </w:pPr>
            <w:r w:rsidRPr="00A225DB">
              <w:rPr>
                <w:rFonts w:ascii="Arial" w:hAnsi="Arial" w:cs="Arial"/>
                <w:sz w:val="20"/>
                <w:szCs w:val="20"/>
              </w:rPr>
              <w:t xml:space="preserve">vymezení trhu dle kapitoly 3 metodiky; </w:t>
            </w:r>
          </w:p>
          <w:p w14:paraId="04D9FED7" w14:textId="77777777" w:rsidR="00D14A04" w:rsidRPr="00A225DB" w:rsidRDefault="00D14A04" w:rsidP="00455D34">
            <w:pPr>
              <w:pStyle w:val="Odstavecseseznamem"/>
              <w:numPr>
                <w:ilvl w:val="0"/>
                <w:numId w:val="1"/>
              </w:numPr>
              <w:spacing w:after="120"/>
              <w:jc w:val="both"/>
              <w:rPr>
                <w:rFonts w:ascii="Arial" w:hAnsi="Arial" w:cs="Arial"/>
                <w:sz w:val="20"/>
                <w:szCs w:val="20"/>
              </w:rPr>
            </w:pPr>
            <w:r w:rsidRPr="00A225DB">
              <w:rPr>
                <w:rFonts w:ascii="Arial" w:hAnsi="Arial" w:cs="Arial"/>
                <w:sz w:val="20"/>
                <w:szCs w:val="20"/>
              </w:rPr>
              <w:t xml:space="preserve">stanovení trhu dle kapitoly 4 metodiky, zejména v rámci tří-kriteriálního testu; a </w:t>
            </w:r>
          </w:p>
          <w:p w14:paraId="3A1227C4" w14:textId="77777777" w:rsidR="00D14A04" w:rsidRPr="00A225DB" w:rsidRDefault="00D14A04" w:rsidP="00455D34">
            <w:pPr>
              <w:pStyle w:val="Odstavecseseznamem"/>
              <w:numPr>
                <w:ilvl w:val="0"/>
                <w:numId w:val="1"/>
              </w:numPr>
              <w:spacing w:after="120"/>
              <w:jc w:val="both"/>
              <w:rPr>
                <w:rFonts w:ascii="Arial" w:hAnsi="Arial" w:cs="Arial"/>
                <w:sz w:val="20"/>
                <w:szCs w:val="20"/>
              </w:rPr>
            </w:pPr>
            <w:r w:rsidRPr="00A225DB">
              <w:rPr>
                <w:rFonts w:ascii="Arial" w:hAnsi="Arial" w:cs="Arial"/>
                <w:sz w:val="20"/>
                <w:szCs w:val="20"/>
              </w:rPr>
              <w:t xml:space="preserve">určení podniku s významnou tržní silou dle kapitoly 6 metodiky. </w:t>
            </w:r>
          </w:p>
          <w:p w14:paraId="658C63BE" w14:textId="4081EEED" w:rsidR="00D14A04" w:rsidRPr="00455D34" w:rsidRDefault="00D14A04" w:rsidP="00B04C79">
            <w:pPr>
              <w:spacing w:after="120"/>
              <w:jc w:val="both"/>
              <w:rPr>
                <w:rFonts w:ascii="Arial" w:hAnsi="Arial" w:cs="Arial"/>
                <w:sz w:val="20"/>
                <w:szCs w:val="20"/>
              </w:rPr>
            </w:pPr>
            <w:r w:rsidRPr="00A225DB">
              <w:rPr>
                <w:rFonts w:ascii="Arial" w:hAnsi="Arial" w:cs="Arial"/>
                <w:sz w:val="20"/>
                <w:szCs w:val="20"/>
              </w:rPr>
              <w:t>Nápravná opatření ukládá Úřad dle kapitoly 7 metodiky vždy jen podniku, který disponuje s významnou tržní silou zjištěnou na základě postupu Úřadu dle kapitoly 6 metodiky.</w:t>
            </w:r>
            <w:r w:rsidR="009E1C7D">
              <w:rPr>
                <w:rFonts w:ascii="Arial" w:hAnsi="Arial" w:cs="Arial"/>
                <w:sz w:val="20"/>
                <w:szCs w:val="20"/>
              </w:rPr>
              <w:t xml:space="preserve"> </w:t>
            </w:r>
          </w:p>
        </w:tc>
      </w:tr>
      <w:tr w:rsidR="00012DB6" w:rsidRPr="005B3003" w14:paraId="6BAB6601" w14:textId="77777777" w:rsidTr="00012DB6">
        <w:tc>
          <w:tcPr>
            <w:tcW w:w="1294" w:type="dxa"/>
          </w:tcPr>
          <w:p w14:paraId="6CEC2ED8" w14:textId="687B0494" w:rsidR="00012DB6" w:rsidRDefault="003A7B85">
            <w:pPr>
              <w:rPr>
                <w:rFonts w:ascii="Arial" w:hAnsi="Arial" w:cs="Arial"/>
                <w:sz w:val="20"/>
                <w:szCs w:val="20"/>
              </w:rPr>
            </w:pPr>
            <w:r>
              <w:rPr>
                <w:rFonts w:ascii="Arial" w:hAnsi="Arial" w:cs="Arial"/>
                <w:sz w:val="20"/>
                <w:szCs w:val="20"/>
              </w:rPr>
              <w:t>VF</w:t>
            </w:r>
          </w:p>
          <w:p w14:paraId="590690F2" w14:textId="3BCDFD4B" w:rsidR="00CC5B1D" w:rsidRPr="005B3003" w:rsidRDefault="00CC5B1D">
            <w:pPr>
              <w:rPr>
                <w:rFonts w:ascii="Arial" w:hAnsi="Arial" w:cs="Arial"/>
                <w:sz w:val="20"/>
                <w:szCs w:val="20"/>
              </w:rPr>
            </w:pPr>
            <w:r>
              <w:rPr>
                <w:rFonts w:ascii="Arial" w:hAnsi="Arial" w:cs="Arial"/>
                <w:sz w:val="20"/>
                <w:szCs w:val="20"/>
              </w:rPr>
              <w:t>(13)</w:t>
            </w:r>
          </w:p>
        </w:tc>
        <w:tc>
          <w:tcPr>
            <w:tcW w:w="1083" w:type="dxa"/>
          </w:tcPr>
          <w:p w14:paraId="6BF38700" w14:textId="77777777" w:rsidR="00012DB6" w:rsidRPr="005B3003" w:rsidRDefault="00012DB6">
            <w:pPr>
              <w:rPr>
                <w:rFonts w:ascii="Arial" w:hAnsi="Arial" w:cs="Arial"/>
                <w:sz w:val="20"/>
                <w:szCs w:val="20"/>
              </w:rPr>
            </w:pPr>
          </w:p>
        </w:tc>
        <w:tc>
          <w:tcPr>
            <w:tcW w:w="5810" w:type="dxa"/>
          </w:tcPr>
          <w:p w14:paraId="22AD9BA4" w14:textId="08392D7C" w:rsidR="00D14A04" w:rsidRPr="00D14A04" w:rsidRDefault="00D14A04" w:rsidP="009E1C7D">
            <w:pPr>
              <w:spacing w:after="120"/>
              <w:jc w:val="both"/>
              <w:rPr>
                <w:rFonts w:ascii="Arial" w:hAnsi="Arial" w:cs="Arial"/>
                <w:sz w:val="20"/>
                <w:szCs w:val="20"/>
              </w:rPr>
            </w:pPr>
            <w:r w:rsidRPr="00D14A04">
              <w:rPr>
                <w:rFonts w:ascii="Arial" w:hAnsi="Arial" w:cs="Arial"/>
                <w:sz w:val="20"/>
                <w:szCs w:val="20"/>
              </w:rPr>
              <w:t xml:space="preserve">Úřad uvádí na řádku 568 </w:t>
            </w:r>
            <w:proofErr w:type="spellStart"/>
            <w:r w:rsidRPr="00D14A04">
              <w:rPr>
                <w:rFonts w:ascii="Arial" w:hAnsi="Arial" w:cs="Arial"/>
                <w:sz w:val="20"/>
                <w:szCs w:val="20"/>
              </w:rPr>
              <w:t>an</w:t>
            </w:r>
            <w:proofErr w:type="spellEnd"/>
            <w:r w:rsidRPr="00D14A04">
              <w:rPr>
                <w:rFonts w:ascii="Arial" w:hAnsi="Arial" w:cs="Arial"/>
                <w:sz w:val="20"/>
                <w:szCs w:val="20"/>
              </w:rPr>
              <w:t xml:space="preserve">., že v rámci testu tří kritérií bude zkoumat, zda situace na daném trhu z pohledu hospodářské soutěže nevede k tomu, že se trh v příslušném časovém období stane konkurenčním. Pro posuzování tohoto kritéria lze za příslušné časové období považovat 1 až 4 roky (srov. řádky 491 </w:t>
            </w:r>
            <w:proofErr w:type="spellStart"/>
            <w:r w:rsidRPr="00D14A04">
              <w:rPr>
                <w:rFonts w:ascii="Arial" w:hAnsi="Arial" w:cs="Arial"/>
                <w:sz w:val="20"/>
                <w:szCs w:val="20"/>
              </w:rPr>
              <w:t>an</w:t>
            </w:r>
            <w:proofErr w:type="spellEnd"/>
            <w:r w:rsidRPr="00D14A04">
              <w:rPr>
                <w:rFonts w:ascii="Arial" w:hAnsi="Arial" w:cs="Arial"/>
                <w:sz w:val="20"/>
                <w:szCs w:val="20"/>
              </w:rPr>
              <w:t>.). Vodafone je toho názoru, že uvedené informace se týkají posuzování úrovně konkurence služeb poskytovaných na daném trhu. Po posuzov</w:t>
            </w:r>
            <w:r w:rsidR="00D95F58">
              <w:rPr>
                <w:rFonts w:ascii="Arial" w:hAnsi="Arial" w:cs="Arial"/>
                <w:sz w:val="20"/>
                <w:szCs w:val="20"/>
              </w:rPr>
              <w:t>ání tohoto kritéria ve vztahu k </w:t>
            </w:r>
            <w:r w:rsidRPr="00D14A04">
              <w:rPr>
                <w:rFonts w:ascii="Arial" w:hAnsi="Arial" w:cs="Arial"/>
                <w:sz w:val="20"/>
                <w:szCs w:val="20"/>
              </w:rPr>
              <w:t>infrastruktuře však Úřad nestanovuje žádný zvláštní časový horizont, ačkoliv je zřejmé, že poskytovaní služeb má zcela jinou (časovou) dynamiku než míra infrastrukturní soutěže.</w:t>
            </w:r>
          </w:p>
          <w:p w14:paraId="0BDE5D61" w14:textId="62895A10" w:rsidR="00D14A04" w:rsidRDefault="00D14A04" w:rsidP="009E1C7D">
            <w:pPr>
              <w:spacing w:after="120"/>
              <w:jc w:val="both"/>
              <w:rPr>
                <w:rFonts w:ascii="Arial" w:hAnsi="Arial" w:cs="Arial"/>
                <w:sz w:val="20"/>
                <w:szCs w:val="20"/>
              </w:rPr>
            </w:pPr>
            <w:r w:rsidRPr="00D14A04">
              <w:rPr>
                <w:rFonts w:ascii="Arial" w:hAnsi="Arial" w:cs="Arial"/>
                <w:sz w:val="20"/>
                <w:szCs w:val="20"/>
              </w:rPr>
              <w:t>Úroveň hospodářské soutěže ve vztahu ke službám se může měnit mnohem rychleji než ve vztahu k infrastruktuře. Naopak dopady narušení infrastrukturního trhu mohou být mnohem dlouhodobější a hůře napravite</w:t>
            </w:r>
            <w:r w:rsidR="00D95F58">
              <w:rPr>
                <w:rFonts w:ascii="Arial" w:hAnsi="Arial" w:cs="Arial"/>
                <w:sz w:val="20"/>
                <w:szCs w:val="20"/>
              </w:rPr>
              <w:t>lné než narušení trhu služeb. Z </w:t>
            </w:r>
            <w:r w:rsidRPr="00D14A04">
              <w:rPr>
                <w:rFonts w:ascii="Arial" w:hAnsi="Arial" w:cs="Arial"/>
                <w:sz w:val="20"/>
                <w:szCs w:val="20"/>
              </w:rPr>
              <w:t>tohoto důvodu je nutné pro otázky související s infrastruktur</w:t>
            </w:r>
            <w:r w:rsidR="00D95F58">
              <w:rPr>
                <w:rFonts w:ascii="Arial" w:hAnsi="Arial" w:cs="Arial"/>
                <w:sz w:val="20"/>
                <w:szCs w:val="20"/>
              </w:rPr>
              <w:t>ou aplikovat delší výhled, který</w:t>
            </w:r>
            <w:r w:rsidRPr="00D14A04">
              <w:rPr>
                <w:rFonts w:ascii="Arial" w:hAnsi="Arial" w:cs="Arial"/>
                <w:sz w:val="20"/>
                <w:szCs w:val="20"/>
              </w:rPr>
              <w:t xml:space="preserve"> bude odpovídat povaze infrastrukturní soutěže.</w:t>
            </w:r>
            <w:r w:rsidR="009E1C7D">
              <w:rPr>
                <w:rFonts w:ascii="Arial" w:hAnsi="Arial" w:cs="Arial"/>
                <w:sz w:val="20"/>
                <w:szCs w:val="20"/>
              </w:rPr>
              <w:t xml:space="preserve"> (…)</w:t>
            </w:r>
          </w:p>
          <w:p w14:paraId="6CB11A64" w14:textId="77777777" w:rsidR="00012DB6" w:rsidRPr="00655785" w:rsidRDefault="00D14A04" w:rsidP="00655785">
            <w:pPr>
              <w:jc w:val="both"/>
              <w:rPr>
                <w:rFonts w:ascii="Arial" w:hAnsi="Arial" w:cs="Arial"/>
                <w:sz w:val="20"/>
                <w:szCs w:val="20"/>
              </w:rPr>
            </w:pPr>
            <w:r w:rsidRPr="00D14A04">
              <w:rPr>
                <w:rFonts w:ascii="Arial" w:hAnsi="Arial" w:cs="Arial"/>
                <w:sz w:val="20"/>
                <w:szCs w:val="20"/>
              </w:rPr>
              <w:t>S přihlédnutí k uvedeným rozdílům navrhuje Vodafone, aby metodika jasněji vymezila období, které je rozhodné pro posuzování úrovně infrastrukturní soutěže</w:t>
            </w:r>
          </w:p>
        </w:tc>
        <w:tc>
          <w:tcPr>
            <w:tcW w:w="5807" w:type="dxa"/>
          </w:tcPr>
          <w:p w14:paraId="614E6B75" w14:textId="77777777" w:rsidR="00012DB6" w:rsidRDefault="00AA3568" w:rsidP="00012DB6">
            <w:pPr>
              <w:spacing w:after="120"/>
              <w:jc w:val="both"/>
              <w:rPr>
                <w:rFonts w:ascii="Arial" w:hAnsi="Arial" w:cs="Arial"/>
                <w:sz w:val="20"/>
                <w:szCs w:val="20"/>
              </w:rPr>
            </w:pPr>
            <w:r>
              <w:rPr>
                <w:rFonts w:ascii="Arial" w:hAnsi="Arial" w:cs="Arial"/>
                <w:b/>
                <w:sz w:val="20"/>
                <w:szCs w:val="20"/>
              </w:rPr>
              <w:t xml:space="preserve">Neakceptováno. </w:t>
            </w:r>
          </w:p>
          <w:p w14:paraId="187D4E88" w14:textId="28328335" w:rsidR="00B04C79" w:rsidRDefault="00AA3568" w:rsidP="00012DB6">
            <w:pPr>
              <w:spacing w:after="120"/>
              <w:jc w:val="both"/>
              <w:rPr>
                <w:rFonts w:ascii="Arial" w:hAnsi="Arial" w:cs="Arial"/>
                <w:sz w:val="20"/>
                <w:szCs w:val="20"/>
              </w:rPr>
            </w:pPr>
            <w:r>
              <w:rPr>
                <w:rFonts w:ascii="Arial" w:hAnsi="Arial" w:cs="Arial"/>
                <w:sz w:val="20"/>
                <w:szCs w:val="20"/>
              </w:rPr>
              <w:t xml:space="preserve">Úřad vymezí trh z časového hlediska na dobu předpokládané platnosti analýzy relevantního </w:t>
            </w:r>
            <w:r w:rsidR="00D95F58">
              <w:rPr>
                <w:rFonts w:ascii="Arial" w:hAnsi="Arial" w:cs="Arial"/>
                <w:sz w:val="20"/>
                <w:szCs w:val="20"/>
              </w:rPr>
              <w:t>t</w:t>
            </w:r>
            <w:r w:rsidR="008A683D">
              <w:rPr>
                <w:rFonts w:ascii="Arial" w:hAnsi="Arial" w:cs="Arial"/>
                <w:sz w:val="20"/>
                <w:szCs w:val="20"/>
              </w:rPr>
              <w:t>rhu, jelikož regulační rámec i z</w:t>
            </w:r>
            <w:r>
              <w:rPr>
                <w:rFonts w:ascii="Arial" w:hAnsi="Arial" w:cs="Arial"/>
                <w:sz w:val="20"/>
                <w:szCs w:val="20"/>
              </w:rPr>
              <w:t>ákon o elektro</w:t>
            </w:r>
            <w:r w:rsidR="00B04C79">
              <w:rPr>
                <w:rFonts w:ascii="Arial" w:hAnsi="Arial" w:cs="Arial"/>
                <w:sz w:val="20"/>
                <w:szCs w:val="20"/>
              </w:rPr>
              <w:t>nických komunikacích stanoví pro analýzy interval 1-3 roky, resp. výjimečně s povolením Komise prodloužený o další 3 roky.</w:t>
            </w:r>
          </w:p>
          <w:p w14:paraId="1A3A87E2" w14:textId="25DD7BA6" w:rsidR="00230393" w:rsidRDefault="00B04C79" w:rsidP="00230393">
            <w:pPr>
              <w:spacing w:after="120"/>
              <w:jc w:val="both"/>
              <w:rPr>
                <w:rFonts w:ascii="Arial" w:hAnsi="Arial" w:cs="Arial"/>
                <w:sz w:val="20"/>
                <w:szCs w:val="20"/>
              </w:rPr>
            </w:pPr>
            <w:r>
              <w:rPr>
                <w:rFonts w:ascii="Arial" w:hAnsi="Arial" w:cs="Arial"/>
                <w:sz w:val="20"/>
                <w:szCs w:val="20"/>
              </w:rPr>
              <w:t>Úřad při časovém vymezení trhu přihlédne k situaci s výhledem na období platnosti analýzy, jelikož pouze na toto období ukládá nápravná opatření. V případě, že v rámci analýzy dospěje k </w:t>
            </w:r>
            <w:r w:rsidR="00C66442">
              <w:rPr>
                <w:rFonts w:ascii="Arial" w:hAnsi="Arial" w:cs="Arial"/>
                <w:sz w:val="20"/>
                <w:szCs w:val="20"/>
              </w:rPr>
              <w:t>závěru</w:t>
            </w:r>
            <w:r>
              <w:rPr>
                <w:rFonts w:ascii="Arial" w:hAnsi="Arial" w:cs="Arial"/>
                <w:sz w:val="20"/>
                <w:szCs w:val="20"/>
              </w:rPr>
              <w:t xml:space="preserve">, že v tomto horizontu pro danou analýzu není hospodářská soutěž </w:t>
            </w:r>
            <w:r w:rsidR="00230393">
              <w:rPr>
                <w:rFonts w:ascii="Arial" w:hAnsi="Arial" w:cs="Arial"/>
                <w:sz w:val="20"/>
                <w:szCs w:val="20"/>
              </w:rPr>
              <w:t xml:space="preserve">ohrožena, resp. že není určitý produkt poskytovaný na základě jiné infrastruktury výhledově zastupitelný, nezahrne jej do produktového trhu. Úřad může daný produkt zahrnout v rámci následující analýzy, kterou bude ve vztahu k danému trhu provádět. </w:t>
            </w:r>
          </w:p>
          <w:p w14:paraId="527B9FB9" w14:textId="7463A87C" w:rsidR="00AA3568" w:rsidRPr="00B04C79" w:rsidRDefault="00AA3568" w:rsidP="00230393">
            <w:pPr>
              <w:spacing w:after="120"/>
              <w:jc w:val="both"/>
              <w:rPr>
                <w:rFonts w:ascii="Arial" w:hAnsi="Arial" w:cs="Arial"/>
                <w:b/>
                <w:sz w:val="20"/>
                <w:szCs w:val="20"/>
              </w:rPr>
            </w:pPr>
          </w:p>
        </w:tc>
      </w:tr>
    </w:tbl>
    <w:p w14:paraId="2975207D" w14:textId="153AB4CD" w:rsidR="00CD7A00" w:rsidRPr="009E1C7D" w:rsidRDefault="00CC5B1D" w:rsidP="00CC5B1D">
      <w:pPr>
        <w:spacing w:before="240" w:after="60"/>
        <w:rPr>
          <w:rFonts w:ascii="Arial" w:hAnsi="Arial" w:cs="Arial"/>
        </w:rPr>
      </w:pPr>
      <w:r w:rsidRPr="009E1C7D">
        <w:rPr>
          <w:rFonts w:ascii="Arial" w:hAnsi="Arial" w:cs="Arial"/>
        </w:rPr>
        <w:t>Seznam zkratek</w:t>
      </w:r>
    </w:p>
    <w:p w14:paraId="58AA3832" w14:textId="7242DC92" w:rsidR="00CC5B1D" w:rsidRPr="009E1C7D" w:rsidRDefault="00CC5B1D" w:rsidP="00C80627">
      <w:pPr>
        <w:tabs>
          <w:tab w:val="left" w:pos="851"/>
          <w:tab w:val="left" w:pos="1418"/>
        </w:tabs>
        <w:spacing w:after="0"/>
        <w:rPr>
          <w:rFonts w:ascii="Arial" w:hAnsi="Arial" w:cs="Arial"/>
        </w:rPr>
      </w:pPr>
      <w:r w:rsidRPr="009E1C7D">
        <w:rPr>
          <w:rFonts w:ascii="Arial" w:hAnsi="Arial" w:cs="Arial"/>
        </w:rPr>
        <w:t xml:space="preserve">CETIN </w:t>
      </w:r>
      <w:r w:rsidR="00C80627" w:rsidRPr="009E1C7D">
        <w:rPr>
          <w:rFonts w:ascii="Arial" w:hAnsi="Arial" w:cs="Arial"/>
        </w:rPr>
        <w:tab/>
      </w:r>
      <w:r w:rsidRPr="009E1C7D">
        <w:rPr>
          <w:rFonts w:ascii="Arial" w:hAnsi="Arial" w:cs="Arial"/>
        </w:rPr>
        <w:t xml:space="preserve">– </w:t>
      </w:r>
      <w:r w:rsidR="00C80627" w:rsidRPr="009E1C7D">
        <w:rPr>
          <w:rFonts w:ascii="Arial" w:hAnsi="Arial" w:cs="Arial"/>
        </w:rPr>
        <w:tab/>
      </w:r>
      <w:r w:rsidRPr="009E1C7D">
        <w:rPr>
          <w:rFonts w:ascii="Arial" w:hAnsi="Arial" w:cs="Arial"/>
        </w:rPr>
        <w:t>Česká telekomunikační infrastruktura a.s.</w:t>
      </w:r>
    </w:p>
    <w:p w14:paraId="19305BF2" w14:textId="59B27526" w:rsidR="00CC5B1D" w:rsidRPr="009E1C7D" w:rsidRDefault="00CC5B1D" w:rsidP="00C80627">
      <w:pPr>
        <w:tabs>
          <w:tab w:val="left" w:pos="851"/>
          <w:tab w:val="left" w:pos="1418"/>
        </w:tabs>
        <w:spacing w:after="0"/>
        <w:rPr>
          <w:rFonts w:ascii="Arial" w:hAnsi="Arial" w:cs="Arial"/>
        </w:rPr>
      </w:pPr>
      <w:r w:rsidRPr="009E1C7D">
        <w:rPr>
          <w:rFonts w:ascii="Arial" w:hAnsi="Arial" w:cs="Arial"/>
        </w:rPr>
        <w:t xml:space="preserve">TMO </w:t>
      </w:r>
      <w:r w:rsidR="00C80627" w:rsidRPr="009E1C7D">
        <w:rPr>
          <w:rFonts w:ascii="Arial" w:hAnsi="Arial" w:cs="Arial"/>
        </w:rPr>
        <w:tab/>
      </w:r>
      <w:r w:rsidRPr="009E1C7D">
        <w:rPr>
          <w:rFonts w:ascii="Arial" w:hAnsi="Arial" w:cs="Arial"/>
        </w:rPr>
        <w:t xml:space="preserve">– </w:t>
      </w:r>
      <w:r w:rsidR="00C80627" w:rsidRPr="009E1C7D">
        <w:rPr>
          <w:rFonts w:ascii="Arial" w:hAnsi="Arial" w:cs="Arial"/>
        </w:rPr>
        <w:tab/>
      </w:r>
      <w:r w:rsidRPr="009E1C7D">
        <w:rPr>
          <w:rFonts w:ascii="Arial" w:hAnsi="Arial" w:cs="Arial"/>
        </w:rPr>
        <w:t>T-Mobile Czech Republic a.s.</w:t>
      </w:r>
    </w:p>
    <w:p w14:paraId="4B34AEA4" w14:textId="2C6CEBCF" w:rsidR="00CC5B1D" w:rsidRPr="009E1C7D" w:rsidRDefault="00CC5B1D" w:rsidP="00C80627">
      <w:pPr>
        <w:tabs>
          <w:tab w:val="left" w:pos="851"/>
          <w:tab w:val="left" w:pos="1418"/>
        </w:tabs>
        <w:rPr>
          <w:rFonts w:ascii="Arial" w:hAnsi="Arial" w:cs="Arial"/>
        </w:rPr>
      </w:pPr>
      <w:r w:rsidRPr="009E1C7D">
        <w:rPr>
          <w:rFonts w:ascii="Arial" w:hAnsi="Arial" w:cs="Arial"/>
        </w:rPr>
        <w:t xml:space="preserve">VF </w:t>
      </w:r>
      <w:r w:rsidR="00C80627" w:rsidRPr="009E1C7D">
        <w:rPr>
          <w:rFonts w:ascii="Arial" w:hAnsi="Arial" w:cs="Arial"/>
        </w:rPr>
        <w:tab/>
      </w:r>
      <w:r w:rsidRPr="009E1C7D">
        <w:rPr>
          <w:rFonts w:ascii="Arial" w:hAnsi="Arial" w:cs="Arial"/>
        </w:rPr>
        <w:t xml:space="preserve">– </w:t>
      </w:r>
      <w:r w:rsidR="00C80627" w:rsidRPr="009E1C7D">
        <w:rPr>
          <w:rFonts w:ascii="Arial" w:hAnsi="Arial" w:cs="Arial"/>
        </w:rPr>
        <w:tab/>
      </w:r>
      <w:r w:rsidRPr="009E1C7D">
        <w:rPr>
          <w:rFonts w:ascii="Arial" w:hAnsi="Arial" w:cs="Arial"/>
        </w:rPr>
        <w:t>Vodafone Czech Republic a.s.</w:t>
      </w:r>
    </w:p>
    <w:sectPr w:rsidR="00CC5B1D" w:rsidRPr="009E1C7D" w:rsidSect="005B300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15EE" w14:textId="77777777" w:rsidR="00D95F58" w:rsidRDefault="00D95F58" w:rsidP="004E24EE">
      <w:pPr>
        <w:spacing w:after="0" w:line="240" w:lineRule="auto"/>
      </w:pPr>
      <w:r>
        <w:separator/>
      </w:r>
    </w:p>
  </w:endnote>
  <w:endnote w:type="continuationSeparator" w:id="0">
    <w:p w14:paraId="2068355E" w14:textId="77777777" w:rsidR="00D95F58" w:rsidRDefault="00D95F58" w:rsidP="004E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41346"/>
      <w:docPartObj>
        <w:docPartGallery w:val="Page Numbers (Bottom of Page)"/>
        <w:docPartUnique/>
      </w:docPartObj>
    </w:sdtPr>
    <w:sdtEndPr>
      <w:rPr>
        <w:rFonts w:ascii="Arial" w:hAnsi="Arial" w:cs="Arial"/>
        <w:sz w:val="20"/>
        <w:szCs w:val="20"/>
      </w:rPr>
    </w:sdtEndPr>
    <w:sdtContent>
      <w:p w14:paraId="7AD03ABF" w14:textId="0DDD1E52" w:rsidR="00D95F58" w:rsidRPr="00012DB6" w:rsidRDefault="00D95F58">
        <w:pPr>
          <w:pStyle w:val="Zpat"/>
          <w:jc w:val="center"/>
          <w:rPr>
            <w:rFonts w:ascii="Arial" w:hAnsi="Arial" w:cs="Arial"/>
            <w:sz w:val="20"/>
            <w:szCs w:val="20"/>
          </w:rPr>
        </w:pPr>
        <w:r w:rsidRPr="00012DB6">
          <w:rPr>
            <w:rFonts w:ascii="Arial" w:hAnsi="Arial" w:cs="Arial"/>
            <w:sz w:val="20"/>
            <w:szCs w:val="20"/>
          </w:rPr>
          <w:fldChar w:fldCharType="begin"/>
        </w:r>
        <w:r w:rsidRPr="00012DB6">
          <w:rPr>
            <w:rFonts w:ascii="Arial" w:hAnsi="Arial" w:cs="Arial"/>
            <w:sz w:val="20"/>
            <w:szCs w:val="20"/>
          </w:rPr>
          <w:instrText>PAGE   \* MERGEFORMAT</w:instrText>
        </w:r>
        <w:r w:rsidRPr="00012DB6">
          <w:rPr>
            <w:rFonts w:ascii="Arial" w:hAnsi="Arial" w:cs="Arial"/>
            <w:sz w:val="20"/>
            <w:szCs w:val="20"/>
          </w:rPr>
          <w:fldChar w:fldCharType="separate"/>
        </w:r>
        <w:r w:rsidR="008A683D">
          <w:rPr>
            <w:rFonts w:ascii="Arial" w:hAnsi="Arial" w:cs="Arial"/>
            <w:noProof/>
            <w:sz w:val="20"/>
            <w:szCs w:val="20"/>
          </w:rPr>
          <w:t>6</w:t>
        </w:r>
        <w:r w:rsidRPr="00012DB6">
          <w:rPr>
            <w:rFonts w:ascii="Arial" w:hAnsi="Arial" w:cs="Arial"/>
            <w:sz w:val="20"/>
            <w:szCs w:val="20"/>
          </w:rPr>
          <w:fldChar w:fldCharType="end"/>
        </w:r>
        <w:r w:rsidRPr="00012DB6">
          <w:rPr>
            <w:rFonts w:ascii="Arial" w:hAnsi="Arial" w:cs="Arial"/>
            <w:sz w:val="20"/>
            <w:szCs w:val="20"/>
          </w:rPr>
          <w:t>/</w:t>
        </w:r>
        <w:r w:rsidRPr="00012DB6">
          <w:rPr>
            <w:rFonts w:ascii="Arial" w:hAnsi="Arial" w:cs="Arial"/>
            <w:sz w:val="20"/>
            <w:szCs w:val="20"/>
          </w:rPr>
          <w:fldChar w:fldCharType="begin"/>
        </w:r>
        <w:r w:rsidRPr="00012DB6">
          <w:rPr>
            <w:rFonts w:ascii="Arial" w:hAnsi="Arial" w:cs="Arial"/>
            <w:sz w:val="20"/>
            <w:szCs w:val="20"/>
          </w:rPr>
          <w:instrText xml:space="preserve"> NUMPAGES   \* MERGEFORMAT </w:instrText>
        </w:r>
        <w:r w:rsidRPr="00012DB6">
          <w:rPr>
            <w:rFonts w:ascii="Arial" w:hAnsi="Arial" w:cs="Arial"/>
            <w:sz w:val="20"/>
            <w:szCs w:val="20"/>
          </w:rPr>
          <w:fldChar w:fldCharType="separate"/>
        </w:r>
        <w:r w:rsidR="008A683D">
          <w:rPr>
            <w:rFonts w:ascii="Arial" w:hAnsi="Arial" w:cs="Arial"/>
            <w:noProof/>
            <w:sz w:val="20"/>
            <w:szCs w:val="20"/>
          </w:rPr>
          <w:t>6</w:t>
        </w:r>
        <w:r w:rsidRPr="00012DB6">
          <w:rPr>
            <w:rFonts w:ascii="Arial" w:hAnsi="Arial" w:cs="Arial"/>
            <w:sz w:val="20"/>
            <w:szCs w:val="20"/>
          </w:rPr>
          <w:fldChar w:fldCharType="end"/>
        </w:r>
      </w:p>
    </w:sdtContent>
  </w:sdt>
  <w:p w14:paraId="216A9B43" w14:textId="77777777" w:rsidR="00D95F58" w:rsidRDefault="00D95F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AAAC" w14:textId="77777777" w:rsidR="00D95F58" w:rsidRDefault="00D95F58" w:rsidP="004E24EE">
      <w:pPr>
        <w:spacing w:after="0" w:line="240" w:lineRule="auto"/>
      </w:pPr>
      <w:r>
        <w:separator/>
      </w:r>
    </w:p>
  </w:footnote>
  <w:footnote w:type="continuationSeparator" w:id="0">
    <w:p w14:paraId="264FCD57" w14:textId="77777777" w:rsidR="00D95F58" w:rsidRDefault="00D95F58" w:rsidP="004E24EE">
      <w:pPr>
        <w:spacing w:after="0" w:line="240" w:lineRule="auto"/>
      </w:pPr>
      <w:r>
        <w:continuationSeparator/>
      </w:r>
    </w:p>
  </w:footnote>
  <w:footnote w:id="1">
    <w:p w14:paraId="265C383C" w14:textId="1E297BF3" w:rsidR="00D95F58" w:rsidRPr="00455D34" w:rsidRDefault="00D95F58">
      <w:pPr>
        <w:pStyle w:val="Textpoznpodarou"/>
        <w:rPr>
          <w:rFonts w:ascii="Arial" w:hAnsi="Arial" w:cs="Arial"/>
        </w:rPr>
      </w:pPr>
      <w:r w:rsidRPr="00455D34">
        <w:rPr>
          <w:rStyle w:val="Znakapoznpodarou"/>
          <w:rFonts w:ascii="Arial" w:hAnsi="Arial" w:cs="Arial"/>
        </w:rPr>
        <w:footnoteRef/>
      </w:r>
      <w:r w:rsidRPr="00455D34">
        <w:rPr>
          <w:rFonts w:ascii="Arial" w:hAnsi="Arial" w:cs="Arial"/>
        </w:rPr>
        <w:t xml:space="preserve"> Např. </w:t>
      </w:r>
      <w:r>
        <w:rPr>
          <w:rFonts w:ascii="Arial" w:hAnsi="Arial" w:cs="Arial"/>
        </w:rPr>
        <w:t xml:space="preserve">v </w:t>
      </w:r>
      <w:proofErr w:type="spellStart"/>
      <w:r>
        <w:rPr>
          <w:rFonts w:ascii="Arial" w:hAnsi="Arial" w:cs="Arial"/>
        </w:rPr>
        <w:t>Explanatory</w:t>
      </w:r>
      <w:proofErr w:type="spellEnd"/>
      <w:r>
        <w:rPr>
          <w:rFonts w:ascii="Arial" w:hAnsi="Arial" w:cs="Arial"/>
        </w:rPr>
        <w:t xml:space="preserve"> memorandum k Doporučení Komise 2007/879/ES, str. 39 a násl.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1347D"/>
    <w:multiLevelType w:val="hybridMultilevel"/>
    <w:tmpl w:val="80DE346C"/>
    <w:lvl w:ilvl="0" w:tplc="CC3E214A">
      <w:start w:val="1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03"/>
    <w:rsid w:val="0000381C"/>
    <w:rsid w:val="00012DB6"/>
    <w:rsid w:val="00106107"/>
    <w:rsid w:val="001A58B7"/>
    <w:rsid w:val="001C18DF"/>
    <w:rsid w:val="001E2E56"/>
    <w:rsid w:val="001F7409"/>
    <w:rsid w:val="00230393"/>
    <w:rsid w:val="00265B26"/>
    <w:rsid w:val="00276CF2"/>
    <w:rsid w:val="002B4430"/>
    <w:rsid w:val="002C6997"/>
    <w:rsid w:val="002C7254"/>
    <w:rsid w:val="003074D6"/>
    <w:rsid w:val="003277B5"/>
    <w:rsid w:val="003A7B85"/>
    <w:rsid w:val="003D5C89"/>
    <w:rsid w:val="004411F6"/>
    <w:rsid w:val="00455D34"/>
    <w:rsid w:val="00466530"/>
    <w:rsid w:val="004C14CB"/>
    <w:rsid w:val="004C5525"/>
    <w:rsid w:val="004E24EE"/>
    <w:rsid w:val="004F177B"/>
    <w:rsid w:val="00554C65"/>
    <w:rsid w:val="0056466A"/>
    <w:rsid w:val="00565BFB"/>
    <w:rsid w:val="0057154A"/>
    <w:rsid w:val="005B3003"/>
    <w:rsid w:val="005B45A3"/>
    <w:rsid w:val="005E3BBF"/>
    <w:rsid w:val="005E4718"/>
    <w:rsid w:val="006277B5"/>
    <w:rsid w:val="00655785"/>
    <w:rsid w:val="00680FC2"/>
    <w:rsid w:val="00685FB1"/>
    <w:rsid w:val="006C7045"/>
    <w:rsid w:val="006F2418"/>
    <w:rsid w:val="0072344B"/>
    <w:rsid w:val="007352BA"/>
    <w:rsid w:val="007875BE"/>
    <w:rsid w:val="007C17E0"/>
    <w:rsid w:val="007C1FDD"/>
    <w:rsid w:val="00810857"/>
    <w:rsid w:val="0081676D"/>
    <w:rsid w:val="00827319"/>
    <w:rsid w:val="00841C79"/>
    <w:rsid w:val="00843030"/>
    <w:rsid w:val="00893354"/>
    <w:rsid w:val="008A683D"/>
    <w:rsid w:val="008F6DEF"/>
    <w:rsid w:val="00995CC6"/>
    <w:rsid w:val="009B2904"/>
    <w:rsid w:val="009E1C7D"/>
    <w:rsid w:val="009E71A3"/>
    <w:rsid w:val="00A225DB"/>
    <w:rsid w:val="00A8444C"/>
    <w:rsid w:val="00AA3568"/>
    <w:rsid w:val="00AB7C49"/>
    <w:rsid w:val="00AD0967"/>
    <w:rsid w:val="00B04C79"/>
    <w:rsid w:val="00B3714E"/>
    <w:rsid w:val="00BD5122"/>
    <w:rsid w:val="00BE7BAE"/>
    <w:rsid w:val="00C34F34"/>
    <w:rsid w:val="00C66442"/>
    <w:rsid w:val="00C80627"/>
    <w:rsid w:val="00C820AC"/>
    <w:rsid w:val="00CB335A"/>
    <w:rsid w:val="00CC4DEB"/>
    <w:rsid w:val="00CC5B1D"/>
    <w:rsid w:val="00CC7F54"/>
    <w:rsid w:val="00CD7A00"/>
    <w:rsid w:val="00CF4073"/>
    <w:rsid w:val="00D14A04"/>
    <w:rsid w:val="00D5569B"/>
    <w:rsid w:val="00D95F58"/>
    <w:rsid w:val="00DB2586"/>
    <w:rsid w:val="00DD6127"/>
    <w:rsid w:val="00E57F85"/>
    <w:rsid w:val="00E70444"/>
    <w:rsid w:val="00E7332C"/>
    <w:rsid w:val="00E91FBA"/>
    <w:rsid w:val="00E94CAD"/>
    <w:rsid w:val="00EA4A55"/>
    <w:rsid w:val="00EB62DC"/>
    <w:rsid w:val="00F11958"/>
    <w:rsid w:val="00F34F3C"/>
    <w:rsid w:val="00FA5506"/>
    <w:rsid w:val="00FE7597"/>
    <w:rsid w:val="00FF6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84B"/>
  <w15:docId w15:val="{73CD7191-F522-4DDB-92F5-A19D440B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D7A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7A00"/>
    <w:rPr>
      <w:rFonts w:ascii="Segoe UI" w:hAnsi="Segoe UI" w:cs="Segoe UI"/>
      <w:sz w:val="18"/>
      <w:szCs w:val="18"/>
    </w:rPr>
  </w:style>
  <w:style w:type="paragraph" w:styleId="Zhlav">
    <w:name w:val="header"/>
    <w:basedOn w:val="Normln"/>
    <w:link w:val="ZhlavChar"/>
    <w:uiPriority w:val="99"/>
    <w:unhideWhenUsed/>
    <w:rsid w:val="004E24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24EE"/>
  </w:style>
  <w:style w:type="paragraph" w:styleId="Zpat">
    <w:name w:val="footer"/>
    <w:basedOn w:val="Normln"/>
    <w:link w:val="ZpatChar"/>
    <w:uiPriority w:val="99"/>
    <w:unhideWhenUsed/>
    <w:rsid w:val="004E24EE"/>
    <w:pPr>
      <w:tabs>
        <w:tab w:val="center" w:pos="4536"/>
        <w:tab w:val="right" w:pos="9072"/>
      </w:tabs>
      <w:spacing w:after="0" w:line="240" w:lineRule="auto"/>
    </w:pPr>
  </w:style>
  <w:style w:type="character" w:customStyle="1" w:styleId="ZpatChar">
    <w:name w:val="Zápatí Char"/>
    <w:basedOn w:val="Standardnpsmoodstavce"/>
    <w:link w:val="Zpat"/>
    <w:uiPriority w:val="99"/>
    <w:rsid w:val="004E24EE"/>
  </w:style>
  <w:style w:type="character" w:styleId="Odkaznakoment">
    <w:name w:val="annotation reference"/>
    <w:basedOn w:val="Standardnpsmoodstavce"/>
    <w:uiPriority w:val="99"/>
    <w:semiHidden/>
    <w:unhideWhenUsed/>
    <w:rsid w:val="002B4430"/>
    <w:rPr>
      <w:sz w:val="16"/>
      <w:szCs w:val="16"/>
    </w:rPr>
  </w:style>
  <w:style w:type="paragraph" w:styleId="Textkomente">
    <w:name w:val="annotation text"/>
    <w:basedOn w:val="Normln"/>
    <w:link w:val="TextkomenteChar"/>
    <w:uiPriority w:val="99"/>
    <w:semiHidden/>
    <w:unhideWhenUsed/>
    <w:rsid w:val="002B4430"/>
    <w:pPr>
      <w:spacing w:line="240" w:lineRule="auto"/>
    </w:pPr>
    <w:rPr>
      <w:sz w:val="20"/>
      <w:szCs w:val="20"/>
    </w:rPr>
  </w:style>
  <w:style w:type="character" w:customStyle="1" w:styleId="TextkomenteChar">
    <w:name w:val="Text komentáře Char"/>
    <w:basedOn w:val="Standardnpsmoodstavce"/>
    <w:link w:val="Textkomente"/>
    <w:uiPriority w:val="99"/>
    <w:semiHidden/>
    <w:rsid w:val="002B4430"/>
    <w:rPr>
      <w:sz w:val="20"/>
      <w:szCs w:val="20"/>
    </w:rPr>
  </w:style>
  <w:style w:type="paragraph" w:styleId="Pedmtkomente">
    <w:name w:val="annotation subject"/>
    <w:basedOn w:val="Textkomente"/>
    <w:next w:val="Textkomente"/>
    <w:link w:val="PedmtkomenteChar"/>
    <w:uiPriority w:val="99"/>
    <w:semiHidden/>
    <w:unhideWhenUsed/>
    <w:rsid w:val="002B4430"/>
    <w:rPr>
      <w:b/>
      <w:bCs/>
    </w:rPr>
  </w:style>
  <w:style w:type="character" w:customStyle="1" w:styleId="PedmtkomenteChar">
    <w:name w:val="Předmět komentáře Char"/>
    <w:basedOn w:val="TextkomenteChar"/>
    <w:link w:val="Pedmtkomente"/>
    <w:uiPriority w:val="99"/>
    <w:semiHidden/>
    <w:rsid w:val="002B4430"/>
    <w:rPr>
      <w:b/>
      <w:bCs/>
      <w:sz w:val="20"/>
      <w:szCs w:val="20"/>
    </w:rPr>
  </w:style>
  <w:style w:type="paragraph" w:styleId="Odstavecseseznamem">
    <w:name w:val="List Paragraph"/>
    <w:basedOn w:val="Normln"/>
    <w:uiPriority w:val="34"/>
    <w:qFormat/>
    <w:rsid w:val="00D14A04"/>
    <w:pPr>
      <w:ind w:left="720"/>
      <w:contextualSpacing/>
    </w:pPr>
  </w:style>
  <w:style w:type="paragraph" w:styleId="Textpoznpodarou">
    <w:name w:val="footnote text"/>
    <w:basedOn w:val="Normln"/>
    <w:link w:val="TextpoznpodarouChar"/>
    <w:unhideWhenUsed/>
    <w:rsid w:val="00CC7F54"/>
    <w:pPr>
      <w:spacing w:after="0" w:line="240" w:lineRule="auto"/>
    </w:pPr>
    <w:rPr>
      <w:sz w:val="20"/>
      <w:szCs w:val="20"/>
    </w:rPr>
  </w:style>
  <w:style w:type="character" w:customStyle="1" w:styleId="TextpoznpodarouChar">
    <w:name w:val="Text pozn. pod čarou Char"/>
    <w:basedOn w:val="Standardnpsmoodstavce"/>
    <w:link w:val="Textpoznpodarou"/>
    <w:rsid w:val="00CC7F54"/>
    <w:rPr>
      <w:sz w:val="20"/>
      <w:szCs w:val="20"/>
    </w:rPr>
  </w:style>
  <w:style w:type="character" w:styleId="Znakapoznpodarou">
    <w:name w:val="footnote reference"/>
    <w:basedOn w:val="Standardnpsmoodstavce"/>
    <w:unhideWhenUsed/>
    <w:rsid w:val="00CC7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707D-6598-4CDB-8E7E-2D964CED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28723122</Template>
  <TotalTime>44</TotalTime>
  <Pages>6</Pages>
  <Words>2180</Words>
  <Characters>12865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Pierstone3</dc:creator>
  <cp:keywords/>
  <dc:description/>
  <cp:lastModifiedBy>ŠUBRT Pavel</cp:lastModifiedBy>
  <cp:revision>4</cp:revision>
  <cp:lastPrinted>2016-04-29T15:34:00Z</cp:lastPrinted>
  <dcterms:created xsi:type="dcterms:W3CDTF">2016-05-12T09:37:00Z</dcterms:created>
  <dcterms:modified xsi:type="dcterms:W3CDTF">2016-05-12T10:21:00Z</dcterms:modified>
</cp:coreProperties>
</file>