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4"/>
        <w:spacing w:before="24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Formulář pro uplatnění připomínek, stanovisek a názorů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NÁZEV </w:t>
      </w:r>
      <w:r>
        <w:rPr>
          <w:rFonts w:cs="Arial" w:ascii="Arial" w:hAnsi="Arial"/>
          <w:b/>
          <w:caps/>
          <w:sz w:val="22"/>
          <w:szCs w:val="22"/>
        </w:rPr>
        <w:t>návrhu opatření</w:t>
      </w:r>
      <w:r>
        <w:rPr>
          <w:rFonts w:cs="Arial" w:ascii="Arial" w:hAnsi="Arial"/>
          <w:b/>
          <w:sz w:val="22"/>
          <w:szCs w:val="22"/>
        </w:rPr>
        <w:t xml:space="preserve"> KE KONZULTACI: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Čj.: VÝZVA k uplatnění připomínek k návrhu opatření obecné povahy analýzy trhu č. A/3/xx.2021-x, trhu č. 3 – velkoobchodní trh přístupu k mobilním službám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IDENTIFIKAČNÍ ÚDAJE DOTČENÉHO SUBJEKTU: </w:t>
      </w:r>
      <w:r>
        <w:rPr>
          <w:rFonts w:cs="Arial" w:ascii="Arial" w:hAnsi="Arial"/>
          <w:b/>
          <w:sz w:val="22"/>
          <w:szCs w:val="22"/>
        </w:rPr>
        <w:t>Radim Hasalík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Obchodní firma / název / jméno a příjmení: </w:t>
      </w:r>
      <w:r>
        <w:rPr>
          <w:rFonts w:cs="Arial" w:ascii="Arial" w:hAnsi="Arial"/>
          <w:b/>
          <w:sz w:val="22"/>
          <w:szCs w:val="22"/>
        </w:rPr>
        <w:t>Radim Hasalík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IČO (bylo-li přiděleno): 76057321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Kontaktní osoba (vč. telefonního čísla a adresy elektronické pošty): </w:t>
      </w:r>
      <w:r>
        <w:rPr>
          <w:rFonts w:cs="Arial" w:ascii="Arial" w:hAnsi="Arial"/>
          <w:b/>
          <w:sz w:val="22"/>
          <w:szCs w:val="22"/>
        </w:rPr>
        <w:t xml:space="preserve">Radim Hasalík, </w:t>
      </w:r>
      <w:hyperlink r:id="rId2">
        <w:r>
          <w:rPr>
            <w:rStyle w:val="Internetovodkaz"/>
            <w:rFonts w:cs="Arial" w:ascii="Arial" w:hAnsi="Arial"/>
            <w:b/>
            <w:sz w:val="22"/>
            <w:szCs w:val="22"/>
          </w:rPr>
          <w:t>radim@hasalik.cz</w:t>
        </w:r>
      </w:hyperlink>
      <w:hyperlink r:id="rId3">
        <w:r>
          <w:rPr>
            <w:rFonts w:cs="Arial" w:ascii="Arial" w:hAnsi="Arial"/>
            <w:b/>
            <w:sz w:val="22"/>
            <w:szCs w:val="22"/>
          </w:rPr>
          <w:t>, 773 950 233.</w:t>
        </w:r>
      </w:hyperlink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adpis5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DŮVĚRNOST POSKYTNUTÝCH INFORMACÍ:</w:t>
      </w:r>
    </w:p>
    <w:p>
      <w:pPr>
        <w:pStyle w:val="Tlotextu"/>
        <w:tabs>
          <w:tab w:val="clear" w:pos="708"/>
          <w:tab w:val="left" w:pos="540" w:leader="none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Český telekomunikační úřad bude považovat zde poskytnuté informace za důvěrné, pouze pokud je dotčený subjekt označí jako důvěrné nebo jako obchodní tajemství.</w:t>
      </w:r>
    </w:p>
    <w:p>
      <w:pPr>
        <w:pStyle w:val="Tlotextu"/>
        <w:tabs>
          <w:tab w:val="clear" w:pos="708"/>
          <w:tab w:val="left" w:pos="540" w:leader="none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>
      <w:pPr>
        <w:pStyle w:val="Tlotextu"/>
        <w:spacing w:before="120" w:after="0"/>
        <w:ind w:firstLine="5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Pokud dotčený subjekt označí připomínku, popřípadě její část, za důvěrnou nebo jako obchodní tajemství, pak taková připomínka nebude uveřejněna na diskusním místě. Obdobně se postupuje i v případě stanovisek a názorů.</w:t>
      </w:r>
    </w:p>
    <w:p>
      <w:pPr>
        <w:pStyle w:val="Tlotextu"/>
        <w:spacing w:before="120" w:after="0"/>
        <w:ind w:firstLine="5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Připomínky, které nebudou uveřejněny na diskusním místě, se podle čl. 9 odst. 3 Pravidel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Českého telekomunikačního úřadu pro vedení konzultací na diskusním místě nevypořádávají.</w:t>
      </w:r>
    </w:p>
    <w:p>
      <w:pPr>
        <w:pStyle w:val="Normal"/>
        <w:pBdr>
          <w:bottom w:val="single" w:sz="4" w:space="1" w:color="000000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57" w:hanging="3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360" w:after="0"/>
        <w:ind w:left="357" w:hanging="357"/>
        <w:jc w:val="both"/>
        <w:rPr>
          <w:rFonts w:ascii="Arial" w:hAnsi="Arial" w:cs="Arial"/>
          <w:b/>
          <w:b/>
          <w:caps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>I.</w:t>
        <w:tab/>
        <w:t xml:space="preserve">PŘIPOMÍNKY </w:t>
      </w:r>
      <w:r>
        <w:rPr>
          <w:rFonts w:cs="Arial" w:ascii="Arial" w:hAnsi="Arial"/>
          <w:b/>
          <w:caps/>
          <w:sz w:val="22"/>
          <w:szCs w:val="22"/>
        </w:rPr>
        <w:t>k jednotlivým částem/ustanovením návrhu opatření:</w:t>
      </w:r>
    </w:p>
    <w:p>
      <w:pPr>
        <w:pStyle w:val="Normal"/>
        <w:ind w:left="360" w:hanging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1077" w:hanging="0"/>
        <w:jc w:val="both"/>
        <w:rPr/>
      </w:pPr>
      <w:r>
        <w:rPr/>
        <w:t>Bez připomínek.</w:t>
      </w:r>
    </w:p>
    <w:p>
      <w:pPr>
        <w:pStyle w:val="Normal"/>
        <w:ind w:left="360" w:hanging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40" w:after="0"/>
        <w:ind w:left="357" w:hanging="35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</w:t>
        <w:tab/>
        <w:t xml:space="preserve">STANOVISKA A NÁZORY </w:t>
      </w:r>
      <w:r>
        <w:rPr>
          <w:rFonts w:cs="Arial" w:ascii="Arial" w:hAnsi="Arial"/>
          <w:b/>
          <w:caps/>
          <w:sz w:val="22"/>
          <w:szCs w:val="22"/>
        </w:rPr>
        <w:t>k návrhu opatření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spacing w:before="120" w:after="0"/>
        <w:ind w:left="357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(</w:t>
      </w:r>
      <w:r>
        <w:rPr>
          <w:rFonts w:cs="Arial" w:ascii="Arial" w:hAnsi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Postavení virtuálních operátorů asi nejlépe dokládá moje osobní zkušenost s virtuálním operátorem GoMobil.cz. Ten mi po několika letech užívání zavolal a </w:t>
      </w:r>
      <w:r>
        <w:rPr>
          <w:rFonts w:cs="Arial" w:ascii="Arial" w:hAnsi="Arial"/>
          <w:b/>
          <w:bCs/>
          <w:sz w:val="22"/>
          <w:szCs w:val="22"/>
        </w:rPr>
        <w:t>nabídl sám od sebe ukončení smlouvy.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Segoe UI Historic;Segoe UI;Helvetica;Arial;sans-serif" w:hAnsi="Segoe UI Historic;Segoe UI;Helvetica;Arial;sans-serif"/>
          <w:b w:val="false"/>
          <w:bCs w:val="false"/>
          <w:i w:val="false"/>
          <w:caps w:val="false"/>
          <w:smallCaps w:val="false"/>
          <w:color w:val="050505"/>
          <w:spacing w:val="0"/>
          <w:sz w:val="23"/>
        </w:rPr>
        <w:t>Důvodem je prý situace, že telefonní číslo používám příliš často (přes 1 000 minut měsíčně). Jako virtuální operátor měl zřejmě nevýhodné podmínky od operátorů</w:t>
      </w:r>
      <w:r>
        <w:rPr>
          <w:rFonts w:ascii="Segoe UI Historic;Segoe UI;Helvetica;Arial;sans-serif" w:hAnsi="Segoe UI Historic;Segoe UI;Helvetica;Arial;sans-serif"/>
          <w:b w:val="false"/>
          <w:bCs w:val="false"/>
          <w:i w:val="false"/>
          <w:caps w:val="false"/>
          <w:smallCaps w:val="false"/>
          <w:color w:val="050505"/>
          <w:spacing w:val="0"/>
          <w:sz w:val="23"/>
          <w:szCs w:val="24"/>
        </w:rPr>
        <w:t xml:space="preserve">.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ascii="Segoe UI Historic;Segoe UI;Helvetica;Arial;sans-serif" w:hAnsi="Segoe UI Historic;Segoe UI;Helvetica;Arial;sans-serif"/>
          <w:b w:val="false"/>
          <w:bCs w:val="false"/>
          <w:i w:val="false"/>
          <w:caps w:val="false"/>
          <w:smallCaps w:val="false"/>
          <w:color w:val="050505"/>
          <w:spacing w:val="0"/>
          <w:sz w:val="23"/>
          <w:szCs w:val="24"/>
        </w:rPr>
        <w:t xml:space="preserve">Používal jsem dříve inzerovaný </w:t>
      </w:r>
      <w:r>
        <w:rPr>
          <w:rFonts w:ascii="Segoe UI Historic;Segoe UI;Helvetica;Arial;sans-serif" w:hAnsi="Segoe UI Historic;Segoe UI;Helvetica;Arial;sans-serif"/>
          <w:b w:val="false"/>
          <w:bCs w:val="false"/>
          <w:i w:val="false"/>
          <w:caps w:val="false"/>
          <w:smallCaps w:val="false"/>
          <w:color w:val="050505"/>
          <w:spacing w:val="0"/>
          <w:sz w:val="23"/>
        </w:rPr>
        <w:t xml:space="preserve">tarif "Neomezeně". U tarifu uvedené podmínky "Nesmí být užívána pro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 xml:space="preserve">telemarketing, call centrum, SMS marketing ani pro přeprodej." 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 xml:space="preserve">jsem nesplňoval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 xml:space="preserve">nesplňuji. Přesto se mnou firma ukončila spolupráci.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 xml:space="preserve">Musel jsem přejít k jinému operátorovi. 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ascii="Segoe UI Historic;Segoe UI;Helvetica;Arial;sans-serif" w:hAnsi="Segoe UI Historic;Segoe UI;Helvetica;Arial;sans-serif"/>
          <w:b w:val="false"/>
          <w:sz w:val="23"/>
        </w:rPr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Reakce GoMobilu zněla takto: „</w:t>
      </w:r>
      <w:r>
        <w:rPr>
          <w:rFonts w:cs="Arial" w:ascii="Segoe UI Historic;Segoe UI;Helvetica;Arial;sans-serif" w:hAnsi="Segoe UI Historic;Segoe UI;Helvetica;Arial;sans-serif"/>
          <w:b w:val="false"/>
          <w:bCs w:val="false"/>
          <w:i w:val="false"/>
          <w:caps w:val="false"/>
          <w:smallCaps w:val="false"/>
          <w:color w:val="050505"/>
          <w:spacing w:val="0"/>
          <w:sz w:val="23"/>
          <w:szCs w:val="22"/>
        </w:rPr>
        <w:t>Dobrý den, Radime, mrzí mě, že jsme vás zklamali a chápu vás. Věřím, že jednoho dne budeme připraveni, abychom nabízeli služby i podnikatelům a živnostníkům. Je mi velmi líto, že to není dnes. Děkuji za vaši dosavadní spolupráci. Milan</w:t>
      </w:r>
      <w:r>
        <w:rPr>
          <w:rFonts w:cs="Arial" w:ascii="Arial" w:hAnsi="Arial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„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Po přechodu k pevnému operátorovi T-Mobile jsem nijak neměnil užívání služeb. Operátor T-Mobile se mnou smlouvu sám od sebe do dnešního dne neukončil. Naopak se mi podařilo získat tarif za 373 Kč měsíčně, kdy mi operátor sám dal 4 GB dat měsíčně, neomezená volání a SMS. K těmto zvýhodněným cenám jsem se dostal při vygenerování přenosového čísla. Byl jsem kontaktován retenčním oddělením a byla mi nabídnuta lepší cena. 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V době psaní této konzultace nabízí virtuální operátor tarif Ringo Neo s neomezeným voláním a se 3,5 GB a bez neomezených SMS (</w:t>
      </w:r>
      <w:hyperlink r:id="rId4">
        <w:r>
          <w:rPr>
            <w:rStyle w:val="Internetovodkaz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50505"/>
            <w:spacing w:val="0"/>
            <w:sz w:val="22"/>
            <w:szCs w:val="22"/>
          </w:rPr>
          <w:t>https://www.gomobil.cz/tarify/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) za 490 Kč měsíčně. Veřejný tarif operátora ani náhodou nekonkuruje neveřejné nabídce. Není mi také známo, zda-li by se mi znovu nestala záležitost ohledně ukončení smlouvy ze strany operátora.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Z této osobní zkušenosti vyplývá pokřivenost trhu s nabídkou virtuálních operátorů:</w:t>
        <w:br/>
        <w:br/>
        <w:t xml:space="preserve">1. Virtuální operátor byl nucen ukončit vztah se zákazníkem, ačkoliv zákazník neporušoval žádné pravidlo. Přitom se jednalo o konzumaci služeb, která se zřejmě z důvodu interního vyúčtování operátorovi nevyplácela. Pevný operátor však žádné takové ukončení služeb nedělal. Z toho lze odvodit, že se mu velký provoz v síti i nadále vyplatí. 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2. Cena virtuála není konkurenceschopná vůči nabídce pevného operátora T-Mobile.</w:t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/>
      </w:r>
    </w:p>
    <w:p>
      <w:pPr>
        <w:pStyle w:val="Normal"/>
        <w:widowControl/>
        <w:ind w:left="0" w:right="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Bude-li ČTÚ potřebovat získat důkazy od operátorů k tomuto případu, souhlasím s veškerým poskytnutím svých údajů ČTÚ pro účely rozšíření analýzy o tyto důkazy nebo stanoviska operátorů. </w:t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Datum:</w:t>
      </w:r>
    </w:p>
    <w:p>
      <w:pPr>
        <w:pStyle w:val="Normal"/>
        <w:tabs>
          <w:tab w:val="clear" w:pos="708"/>
          <w:tab w:val="left" w:pos="5370" w:leader="none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příjmení, funkce oprávněné osoby:</w:t>
      </w:r>
    </w:p>
    <w:p>
      <w:pPr>
        <w:pStyle w:val="Normal"/>
        <w:spacing w:before="1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 oprávněné osoby</w:t>
      </w:r>
      <w:r>
        <w:rPr>
          <w:rStyle w:val="Ukotvenpoznmkypodarou"/>
          <w:rFonts w:eastAsia="Symbol" w:cs="Symbol" w:ascii="Symbol" w:hAnsi="Symbol"/>
          <w:sz w:val="22"/>
          <w:szCs w:val="22"/>
        </w:rPr>
        <w:footnoteReference w:customMarkFollows="1" w:id="2"/>
        <w:t></w:t>
      </w:r>
      <w:r>
        <w:rPr>
          <w:rFonts w:cs="Arial" w:ascii="Arial" w:hAnsi="Arial"/>
          <w:sz w:val="22"/>
          <w:szCs w:val="22"/>
        </w:rPr>
        <w:t>)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: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egoe UI Historic">
    <w:altName w:val="Segoe UI"/>
    <w:charset w:val="ee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lotextu"/>
        <w:tabs>
          <w:tab w:val="clear" w:pos="708"/>
          <w:tab w:val="left" w:pos="360" w:leader="none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t></w:t>
      </w:r>
      <w:r>
        <w:rPr>
          <w:sz w:val="20"/>
        </w:rPr>
        <w:tab/>
        <w:t>)</w:t>
      </w:r>
      <w:r>
        <w:rPr>
          <w:rFonts w:cs="Arial" w:ascii="Arial" w:hAnsi="Arial"/>
          <w:sz w:val="18"/>
          <w:szCs w:val="18"/>
        </w:rPr>
        <w:t>V případě zaslání tohoto formuláře elektronickou poštou nutno opatřit příslušnou datovou zprávu uznávaným elektronickým podpisem.</w:t>
      </w:r>
    </w:p>
    <w:p>
      <w:pPr>
        <w:pStyle w:val="Poznmkapodarou"/>
        <w:tabs>
          <w:tab w:val="clear" w:pos="708"/>
          <w:tab w:val="left" w:pos="360" w:leader="none"/>
        </w:tabs>
        <w:rPr>
          <w:rFonts w:ascii="Arial" w:hAnsi="Arial" w:cs="Arial"/>
          <w:sz w:val="18"/>
          <w:szCs w:val="18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tabs>
        <w:tab w:val="clear" w:pos="708"/>
        <w:tab w:val="left" w:pos="540" w:leader="none"/>
        <w:tab w:val="right" w:pos="9000" w:leader="none"/>
      </w:tabs>
      <w:jc w:val="both"/>
      <w:outlineLvl w:val="0"/>
    </w:pPr>
    <w:rPr>
      <w:b/>
    </w:rPr>
  </w:style>
  <w:style w:type="paragraph" w:styleId="Nadpis2">
    <w:name w:val="Heading 2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540" w:leader="none"/>
        <w:tab w:val="right" w:pos="9000" w:leader="none"/>
      </w:tabs>
      <w:jc w:val="both"/>
      <w:outlineLvl w:val="0"/>
    </w:pPr>
    <w:rPr>
      <w:b/>
    </w:rPr>
  </w:style>
  <w:style w:type="paragraph" w:styleId="Nadpis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Nadpis4">
    <w:name w:val="Heading 4"/>
    <w:basedOn w:val="Normal"/>
    <w:next w:val="Normal"/>
    <w:qFormat/>
    <w:pPr>
      <w:keepNext w:val="true"/>
      <w:tabs>
        <w:tab w:val="clear" w:pos="708"/>
        <w:tab w:val="right" w:pos="9000" w:leader="none"/>
      </w:tabs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tabs>
        <w:tab w:val="clear" w:pos="708"/>
        <w:tab w:val="left" w:pos="900" w:leader="none"/>
      </w:tabs>
      <w:jc w:val="center"/>
      <w:outlineLvl w:val="4"/>
    </w:pPr>
    <w:rPr/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Annotationreference">
    <w:name w:val="annotation reference"/>
    <w:semiHidden/>
    <w:qFormat/>
    <w:rsid w:val="00cf3c3e"/>
    <w:rPr>
      <w:sz w:val="16"/>
      <w:szCs w:val="16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pPr>
      <w:jc w:val="center"/>
    </w:pPr>
    <w:rPr/>
  </w:style>
  <w:style w:type="paragraph" w:styleId="Odsazentlatextu">
    <w:name w:val="Body Text Indent"/>
    <w:basedOn w:val="Normal"/>
    <w:pPr>
      <w:ind w:firstLine="426"/>
      <w:jc w:val="both"/>
    </w:pPr>
    <w:rPr/>
  </w:style>
  <w:style w:type="paragraph" w:styleId="BodyTextIndent2">
    <w:name w:val="Body Text Indent 2"/>
    <w:basedOn w:val="Normal"/>
    <w:qFormat/>
    <w:pPr>
      <w:ind w:firstLine="540"/>
      <w:jc w:val="both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Poznmkapodarou">
    <w:name w:val="Footnote Text"/>
    <w:basedOn w:val="Normal"/>
    <w:semiHidden/>
    <w:pPr/>
    <w:rPr>
      <w:sz w:val="20"/>
      <w:szCs w:val="20"/>
    </w:rPr>
  </w:style>
  <w:style w:type="paragraph" w:styleId="Annotationtext">
    <w:name w:val="annotation text"/>
    <w:basedOn w:val="Normal"/>
    <w:semiHidden/>
    <w:qFormat/>
    <w:rsid w:val="00cf3c3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cf3c3e"/>
    <w:pPr/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1c32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1c325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im@hasalik.cz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gomobil.cz/tarify/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LibreOffice/7.2.1.2$Windows_X86_64 LibreOffice_project/87b77fad49947c1441b67c559c339af8f3517e22</Application>
  <AppVersion>15.0000</AppVersion>
  <Pages>2</Pages>
  <Words>595</Words>
  <Characters>3571</Characters>
  <CharactersWithSpaces>4151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2017-01-06T12:12:00Z</dcterms:created>
  <dc:creator>JADRNÝ Vratislav</dc:creator>
  <dc:description/>
  <dc:language>cs-CZ</dc:language>
  <cp:lastModifiedBy/>
  <cp:lastPrinted>2013-08-28T14:43:00Z</cp:lastPrinted>
  <dcterms:modified xsi:type="dcterms:W3CDTF">2021-10-20T19:58:21Z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0x0101004A30DE1220B3BC4D97A59BA3C0A89C09</vt:lpwstr>
  </property>
  <property fmtid="{D5CDD505-2E9C-101B-9397-08002B2CF9AE}" pid="4" name="Označení">
    <vt:lpwstr/>
  </property>
</Properties>
</file>