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29B3" w:rsidRDefault="004A6105">
      <w:pPr>
        <w:pStyle w:val="Nadpis4"/>
        <w:keepNext w:val="0"/>
        <w:keepLines w:val="0"/>
        <w:spacing w:before="240" w:after="40"/>
        <w:jc w:val="center"/>
        <w:rPr>
          <w:b/>
          <w:color w:val="000000"/>
          <w:sz w:val="32"/>
          <w:szCs w:val="32"/>
        </w:rPr>
      </w:pPr>
      <w:bookmarkStart w:id="0" w:name="_heading=h.gjdgxs" w:colFirst="0" w:colLast="0"/>
      <w:bookmarkStart w:id="1" w:name="_GoBack"/>
      <w:bookmarkEnd w:id="0"/>
      <w:bookmarkEnd w:id="1"/>
      <w:r>
        <w:rPr>
          <w:b/>
          <w:color w:val="000000"/>
          <w:sz w:val="32"/>
          <w:szCs w:val="32"/>
        </w:rPr>
        <w:t>Formulář pro uplatnění připomínek, stanovisek a názorů</w:t>
      </w:r>
    </w:p>
    <w:p w14:paraId="00000002" w14:textId="77777777" w:rsidR="00B329B3" w:rsidRDefault="004A6105">
      <w:pPr>
        <w:rPr>
          <w:b/>
          <w:sz w:val="24"/>
          <w:szCs w:val="24"/>
        </w:rPr>
      </w:pPr>
      <w:r>
        <w:rPr>
          <w:b/>
          <w:sz w:val="24"/>
          <w:szCs w:val="24"/>
        </w:rPr>
        <w:t xml:space="preserve"> </w:t>
      </w:r>
    </w:p>
    <w:p w14:paraId="00000003" w14:textId="77777777" w:rsidR="00B329B3" w:rsidRDefault="004A6105">
      <w:pPr>
        <w:rPr>
          <w:b/>
          <w:sz w:val="24"/>
          <w:szCs w:val="24"/>
        </w:rPr>
      </w:pPr>
      <w:r>
        <w:rPr>
          <w:b/>
          <w:sz w:val="24"/>
          <w:szCs w:val="24"/>
        </w:rPr>
        <w:t xml:space="preserve"> </w:t>
      </w:r>
    </w:p>
    <w:p w14:paraId="00000004" w14:textId="77777777" w:rsidR="00B329B3" w:rsidRDefault="004A6105">
      <w:pPr>
        <w:rPr>
          <w:b/>
        </w:rPr>
      </w:pPr>
      <w:r>
        <w:rPr>
          <w:b/>
        </w:rPr>
        <w:t>NÁZEV NÁVRHU OPATŘENÍ KE KONZULTACI: Návrh opatření obecné povahy analýzy trhu č. A/</w:t>
      </w:r>
      <w:proofErr w:type="gramStart"/>
      <w:r>
        <w:rPr>
          <w:b/>
        </w:rPr>
        <w:t>3b</w:t>
      </w:r>
      <w:proofErr w:type="gramEnd"/>
      <w:r>
        <w:rPr>
          <w:b/>
        </w:rPr>
        <w:t>/xx.2021-Y, trhu č. 3b – velkoobchodní služby s centrálním přístupem poskytovaným v pevném místě pro výrobky pro širokou spotřebu</w:t>
      </w:r>
    </w:p>
    <w:p w14:paraId="00000005" w14:textId="77777777" w:rsidR="00B329B3" w:rsidRDefault="004A6105">
      <w:pPr>
        <w:rPr>
          <w:b/>
          <w:u w:val="single"/>
        </w:rPr>
      </w:pPr>
      <w:r>
        <w:rPr>
          <w:b/>
          <w:u w:val="single"/>
        </w:rPr>
        <w:t xml:space="preserve"> </w:t>
      </w:r>
    </w:p>
    <w:p w14:paraId="00000006" w14:textId="77777777" w:rsidR="00B329B3" w:rsidRDefault="004A6105">
      <w:pPr>
        <w:rPr>
          <w:b/>
        </w:rPr>
      </w:pPr>
      <w:r>
        <w:rPr>
          <w:b/>
        </w:rPr>
        <w:t>IDENTIFIKAČNÍ ÚDAJE DOTČENÉHO SUBJEKTU:</w:t>
      </w:r>
    </w:p>
    <w:p w14:paraId="2EA77BCD" w14:textId="288C0661" w:rsidR="00A926B0" w:rsidRDefault="004A6105" w:rsidP="00A926B0">
      <w:pPr>
        <w:rPr>
          <w:b/>
        </w:rPr>
      </w:pPr>
      <w:r>
        <w:rPr>
          <w:b/>
        </w:rPr>
        <w:t xml:space="preserve"> </w:t>
      </w:r>
    </w:p>
    <w:p w14:paraId="6A454475" w14:textId="77777777" w:rsidR="00A926B0" w:rsidRDefault="00A926B0" w:rsidP="00A926B0">
      <w:pPr>
        <w:rPr>
          <w:b/>
        </w:rPr>
      </w:pPr>
      <w:r>
        <w:rPr>
          <w:b/>
        </w:rPr>
        <w:t xml:space="preserve">United </w:t>
      </w:r>
      <w:proofErr w:type="spellStart"/>
      <w:r>
        <w:rPr>
          <w:b/>
        </w:rPr>
        <w:t>Networks</w:t>
      </w:r>
      <w:proofErr w:type="spellEnd"/>
      <w:r>
        <w:rPr>
          <w:b/>
        </w:rPr>
        <w:t xml:space="preserve"> SE, Nepomucká 1232/215, 326 00 Plzeň </w:t>
      </w:r>
    </w:p>
    <w:p w14:paraId="7E60264D" w14:textId="77777777" w:rsidR="00A926B0" w:rsidRDefault="00A926B0" w:rsidP="00A926B0">
      <w:pPr>
        <w:rPr>
          <w:b/>
        </w:rPr>
      </w:pPr>
      <w:r>
        <w:rPr>
          <w:b/>
        </w:rPr>
        <w:t xml:space="preserve">IČ: 03579051 </w:t>
      </w:r>
    </w:p>
    <w:p w14:paraId="49AA4418" w14:textId="77777777" w:rsidR="00A926B0" w:rsidRDefault="00A926B0" w:rsidP="00A926B0">
      <w:pPr>
        <w:rPr>
          <w:b/>
        </w:rPr>
      </w:pPr>
      <w:r>
        <w:rPr>
          <w:b/>
        </w:rPr>
        <w:t xml:space="preserve">Pavel Hais, tel. 731 125 027 mail: pavel.hais-n.cz  </w:t>
      </w:r>
    </w:p>
    <w:p w14:paraId="0000000D" w14:textId="77777777" w:rsidR="00B329B3" w:rsidRDefault="004A6105">
      <w:pPr>
        <w:rPr>
          <w:b/>
        </w:rPr>
      </w:pPr>
      <w:r>
        <w:rPr>
          <w:b/>
        </w:rPr>
        <w:t xml:space="preserve"> </w:t>
      </w:r>
    </w:p>
    <w:p w14:paraId="0000000E" w14:textId="77777777" w:rsidR="00B329B3" w:rsidRDefault="004A6105">
      <w:pPr>
        <w:rPr>
          <w:b/>
        </w:rPr>
      </w:pPr>
      <w:bookmarkStart w:id="2" w:name="_heading=h.30j0zll" w:colFirst="0" w:colLast="0"/>
      <w:bookmarkEnd w:id="2"/>
      <w:r>
        <w:rPr>
          <w:b/>
        </w:rPr>
        <w:t xml:space="preserve"> </w:t>
      </w:r>
    </w:p>
    <w:p w14:paraId="0000000F" w14:textId="77777777" w:rsidR="00B329B3" w:rsidRDefault="004A6105">
      <w:pPr>
        <w:ind w:left="720" w:hanging="360"/>
        <w:jc w:val="both"/>
        <w:rPr>
          <w:b/>
        </w:rPr>
      </w:pPr>
      <w:r>
        <w:rPr>
          <w:b/>
        </w:rPr>
        <w:t xml:space="preserve"> </w:t>
      </w:r>
    </w:p>
    <w:p w14:paraId="00000010" w14:textId="77777777" w:rsidR="00B329B3" w:rsidRDefault="004A6105">
      <w:pPr>
        <w:spacing w:before="360"/>
        <w:ind w:left="720" w:hanging="360"/>
        <w:jc w:val="both"/>
        <w:rPr>
          <w:b/>
        </w:rPr>
      </w:pPr>
      <w:r>
        <w:rPr>
          <w:b/>
        </w:rPr>
        <w:t>I.    PŘIPOMÍNKY K JEDNOTLIVÝM ČÁSTEM/USTANOVENÍM NÁVRHU OPATŘENÍ:</w:t>
      </w:r>
    </w:p>
    <w:p w14:paraId="00000011" w14:textId="77777777" w:rsidR="00B329B3" w:rsidRDefault="00B329B3">
      <w:pPr>
        <w:ind w:left="720" w:hanging="360"/>
        <w:rPr>
          <w:b/>
        </w:rPr>
      </w:pPr>
    </w:p>
    <w:p w14:paraId="00000012" w14:textId="77777777" w:rsidR="00B329B3" w:rsidRDefault="004A6105">
      <w:pPr>
        <w:ind w:left="425"/>
      </w:pPr>
      <w:r>
        <w:t>Vítáme možnost připomínkovat návrh opatření obecné povahy analýzy trhu č. A/</w:t>
      </w:r>
      <w:proofErr w:type="gramStart"/>
      <w:r>
        <w:t>3b</w:t>
      </w:r>
      <w:proofErr w:type="gramEnd"/>
      <w:r>
        <w:t xml:space="preserve">/xx.2021-Y, trhu č. 3b – velkoobchodní služby s centrálním přístupem poskytovaným v pevném místě pro výrobky pro širokou spotřebu (dále jen “návrh analýzy”). </w:t>
      </w:r>
    </w:p>
    <w:p w14:paraId="00000013" w14:textId="77777777" w:rsidR="00B329B3" w:rsidRDefault="00B329B3">
      <w:pPr>
        <w:ind w:left="425"/>
      </w:pPr>
    </w:p>
    <w:p w14:paraId="00000014" w14:textId="77777777" w:rsidR="00B329B3" w:rsidRDefault="004A6105">
      <w:pPr>
        <w:ind w:left="425"/>
      </w:pPr>
      <w:r>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5" w14:textId="77777777" w:rsidR="00B329B3" w:rsidRDefault="00B329B3">
      <w:pPr>
        <w:ind w:left="425"/>
      </w:pPr>
    </w:p>
    <w:p w14:paraId="00000016" w14:textId="77777777" w:rsidR="00B329B3" w:rsidRDefault="004A6105">
      <w:pPr>
        <w:pBdr>
          <w:top w:val="nil"/>
          <w:left w:val="nil"/>
          <w:bottom w:val="nil"/>
          <w:right w:val="nil"/>
          <w:between w:val="nil"/>
        </w:pBdr>
        <w:ind w:left="425"/>
        <w:jc w:val="both"/>
      </w:pPr>
      <w:r>
        <w:t xml:space="preserve">Žádáme ČTÚ, aby nerušil regulaci na trhu </w:t>
      </w:r>
      <w:proofErr w:type="gramStart"/>
      <w:r>
        <w:t>3b</w:t>
      </w:r>
      <w:proofErr w:type="gramEnd"/>
      <w:r>
        <w:t xml:space="preserve"> a zohlednil v analýze objektivní skutečnosti a postavení menších poskytovatelů, kteří se spoléhají na existenci regulovaného přístupu. V opačném případě lze očekávat, že někteří z nich budou nuceni podnikaní významně transformovat, omezit či ukončit a dotčení spotřebitelé budou muset přejit k méně výhodným nabídkám největšího poskytovatele O2, který je součástí stejného koncernu jako CETIN. ČTÚ ignoruje skutečnost, že infrastruktura současného SMP operátora je jediná celoplošně způsobilá pro celoplošnou velkoobchodní nabídku, která vytváří tlak na výstavbu paralelních infrastruktur. </w:t>
      </w:r>
    </w:p>
    <w:p w14:paraId="00000017" w14:textId="77777777" w:rsidR="00B329B3" w:rsidRDefault="00B329B3">
      <w:pPr>
        <w:pBdr>
          <w:top w:val="nil"/>
          <w:left w:val="nil"/>
          <w:bottom w:val="nil"/>
          <w:right w:val="nil"/>
          <w:between w:val="nil"/>
        </w:pBdr>
        <w:ind w:left="425"/>
      </w:pPr>
    </w:p>
    <w:p w14:paraId="00000018" w14:textId="77777777" w:rsidR="00B329B3" w:rsidRDefault="004A6105">
      <w:pPr>
        <w:ind w:left="720" w:hanging="360"/>
        <w:rPr>
          <w:b/>
        </w:rPr>
      </w:pPr>
      <w:r>
        <w:rPr>
          <w:b/>
        </w:rPr>
        <w:t xml:space="preserve"> </w:t>
      </w:r>
    </w:p>
    <w:p w14:paraId="00000019" w14:textId="77777777" w:rsidR="00B329B3" w:rsidRDefault="004A6105">
      <w:pPr>
        <w:numPr>
          <w:ilvl w:val="0"/>
          <w:numId w:val="1"/>
        </w:numPr>
        <w:rPr>
          <w:b/>
        </w:rPr>
      </w:pPr>
      <w:r>
        <w:rPr>
          <w:b/>
        </w:rPr>
        <w:t xml:space="preserve">ř. 126 ČTÚ uvádí, že při analýze relevantního trhu podle § 51 odst. 5 zákona o elektronických komunikacích vyhodnocuje stávající regulační opatření. </w:t>
      </w:r>
    </w:p>
    <w:p w14:paraId="0000001A" w14:textId="77777777" w:rsidR="00B329B3" w:rsidRDefault="00B329B3">
      <w:pPr>
        <w:ind w:left="720"/>
        <w:rPr>
          <w:b/>
        </w:rPr>
      </w:pPr>
    </w:p>
    <w:p w14:paraId="0000001B" w14:textId="77777777" w:rsidR="00B329B3" w:rsidRDefault="004A6105">
      <w:pPr>
        <w:ind w:left="720"/>
      </w:pPr>
      <w:r>
        <w:t>Uvedené vyhodnocení stávajících regulačních opatření v předkládaném návrhu analýzy chybí a zcela absentuje zhodnocení dopadu regulace uložené v předchozím kole analýz relevantních trhů. To považujeme za zásadní porušení povinnosti při zpracování analýzy relevantního trhu a požadujeme doplnění.</w:t>
      </w:r>
    </w:p>
    <w:p w14:paraId="0000001C" w14:textId="77777777" w:rsidR="00B329B3" w:rsidRDefault="00B329B3"/>
    <w:p w14:paraId="0000001D" w14:textId="77777777" w:rsidR="00B329B3" w:rsidRDefault="004A6105">
      <w:pPr>
        <w:numPr>
          <w:ilvl w:val="0"/>
          <w:numId w:val="1"/>
        </w:numPr>
        <w:rPr>
          <w:b/>
        </w:rPr>
      </w:pPr>
      <w:r>
        <w:rPr>
          <w:b/>
        </w:rPr>
        <w:t>ř. 326 neaktuální data využívání pásma 60 GHz</w:t>
      </w:r>
    </w:p>
    <w:p w14:paraId="0000001E" w14:textId="77777777" w:rsidR="00B329B3" w:rsidRDefault="00B329B3">
      <w:pPr>
        <w:ind w:left="720"/>
      </w:pPr>
    </w:p>
    <w:p w14:paraId="0000001F" w14:textId="77777777" w:rsidR="00B329B3" w:rsidRDefault="004A6105">
      <w:pPr>
        <w:ind w:left="720"/>
        <w:jc w:val="both"/>
      </w:pPr>
      <w:r>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w:t>
      </w:r>
      <w:proofErr w:type="gramStart"/>
      <w:r>
        <w:t>s</w:t>
      </w:r>
      <w:proofErr w:type="gramEnd"/>
      <w:r>
        <w:t xml:space="preserve"> využívání tohoto pásma, jejichž výsledek se může odrazit v popisu využívání tohoto pásma v návrhu analýzy. </w:t>
      </w:r>
    </w:p>
    <w:p w14:paraId="00000020" w14:textId="77777777" w:rsidR="00B329B3" w:rsidRDefault="00B329B3">
      <w:pPr>
        <w:ind w:left="720"/>
      </w:pPr>
    </w:p>
    <w:p w14:paraId="00000021" w14:textId="77777777" w:rsidR="00B329B3" w:rsidRDefault="004A6105">
      <w:pPr>
        <w:numPr>
          <w:ilvl w:val="0"/>
          <w:numId w:val="1"/>
        </w:numPr>
        <w:rPr>
          <w:b/>
        </w:rPr>
      </w:pPr>
      <w:r>
        <w:rPr>
          <w:b/>
        </w:rPr>
        <w:t>ř. 369 neúplný popis dotačních aktivit</w:t>
      </w:r>
    </w:p>
    <w:p w14:paraId="00000022" w14:textId="77777777" w:rsidR="00B329B3" w:rsidRDefault="00B329B3">
      <w:pPr>
        <w:ind w:left="720"/>
      </w:pPr>
    </w:p>
    <w:p w14:paraId="00000023" w14:textId="77777777" w:rsidR="00B329B3" w:rsidRDefault="004A6105">
      <w:pPr>
        <w:ind w:left="720"/>
      </w:pPr>
      <w:r>
        <w:t xml:space="preserve">V rámci této části ČTÚ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t>looking</w:t>
      </w:r>
      <w:proofErr w:type="spellEnd"/>
      <w:r>
        <w:t xml:space="preserve"> </w:t>
      </w:r>
      <w:proofErr w:type="spellStart"/>
      <w:r>
        <w:t>approach</w:t>
      </w:r>
      <w:proofErr w:type="spellEnd"/>
      <w:r>
        <w:t>)”, považujeme tuto absenci za závažnou a požadujeme doplnění, včetně možného dopadu změny regulace na dotační výzvy/programy (OP PIK, OP TAK, RRF).</w:t>
      </w:r>
    </w:p>
    <w:p w14:paraId="00000024" w14:textId="77777777" w:rsidR="00B329B3" w:rsidRDefault="00B329B3">
      <w:pPr>
        <w:ind w:left="720"/>
      </w:pPr>
    </w:p>
    <w:p w14:paraId="00000025" w14:textId="77777777" w:rsidR="00B329B3" w:rsidRDefault="004A6105">
      <w:pPr>
        <w:numPr>
          <w:ilvl w:val="0"/>
          <w:numId w:val="1"/>
        </w:numPr>
        <w:rPr>
          <w:b/>
        </w:rPr>
      </w:pPr>
      <w:r>
        <w:rPr>
          <w:b/>
        </w:rPr>
        <w:t>ř. 453 Míra využití jednotlivých služeb na základě průzkumu z července roku 2019 zadaného MPO</w:t>
      </w:r>
    </w:p>
    <w:p w14:paraId="00000026" w14:textId="77777777" w:rsidR="00B329B3" w:rsidRDefault="00B329B3">
      <w:pPr>
        <w:ind w:left="720"/>
      </w:pPr>
    </w:p>
    <w:p w14:paraId="00000027" w14:textId="77777777" w:rsidR="00B329B3" w:rsidRDefault="004A6105">
      <w:pPr>
        <w:ind w:left="720"/>
      </w:pPr>
      <w:r>
        <w:t xml:space="preserve">Výsledky průzkumu, který je využíván pro některé dílčí závěry obsažené v návrhu analýzy, považujeme za silně neaktuální a zastaralé. Sám ČTÚ ve </w:t>
      </w:r>
      <w:proofErr w:type="spellStart"/>
      <w:r>
        <w:t>svý</w:t>
      </w:r>
      <w:proofErr w:type="spellEnd"/>
      <w:r>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(proto není například zřejmé, zda obstojí závěr učiněný na ř. 650). Průzkum uvedený v návrhu analýzy již neodpovídá skutečnosti a realitě roku 2021 v České republice a je nutné, aby závěry na něm postavené byly přepracovány, případně, aby ČTÚ použil aktuální data. </w:t>
      </w:r>
    </w:p>
    <w:p w14:paraId="00000028" w14:textId="77777777" w:rsidR="00B329B3" w:rsidRDefault="00B329B3">
      <w:pPr>
        <w:ind w:left="720"/>
      </w:pPr>
    </w:p>
    <w:p w14:paraId="00000029" w14:textId="77777777" w:rsidR="00B329B3" w:rsidRDefault="004A6105">
      <w:pPr>
        <w:numPr>
          <w:ilvl w:val="0"/>
          <w:numId w:val="1"/>
        </w:numPr>
        <w:rPr>
          <w:b/>
        </w:rPr>
      </w:pPr>
      <w:r>
        <w:rPr>
          <w:b/>
        </w:rPr>
        <w:t>ř. 1141 nedostatečný popis ostatních technologií přístupu k internetu</w:t>
      </w:r>
    </w:p>
    <w:p w14:paraId="0000002A" w14:textId="77777777" w:rsidR="00B329B3" w:rsidRDefault="00B329B3">
      <w:pPr>
        <w:ind w:left="720"/>
      </w:pPr>
    </w:p>
    <w:p w14:paraId="0000002B" w14:textId="77777777" w:rsidR="00B329B3" w:rsidRDefault="004A6105">
      <w:pPr>
        <w:ind w:left="720"/>
      </w:pPr>
      <w:r>
        <w:t xml:space="preserve">V části 2.1.2.1.7 úřad zhodnocuje ostatní technologie na české trhu, například přístup k internetu v pevném místě prostřednictvím satelitu. S ohledem na vstup společnosti </w:t>
      </w:r>
      <w:proofErr w:type="spellStart"/>
      <w:r>
        <w:t>Starlink</w:t>
      </w:r>
      <w:proofErr w:type="spellEnd"/>
      <w:r>
        <w:t xml:space="preserve"> na český trh považujeme tento popis za nedostatečný. Úřad by měl uplatnit forward </w:t>
      </w:r>
      <w:proofErr w:type="spellStart"/>
      <w:r>
        <w:t>looking</w:t>
      </w:r>
      <w:proofErr w:type="spellEnd"/>
      <w:r>
        <w:t xml:space="preserve"> </w:t>
      </w:r>
      <w:proofErr w:type="spellStart"/>
      <w:r>
        <w:t>approach</w:t>
      </w:r>
      <w:proofErr w:type="spellEnd"/>
      <w:r>
        <w:t xml:space="preserve"> a zohlednit v návrhu analýzy působení této perspektivní technologie na český trh. </w:t>
      </w:r>
    </w:p>
    <w:p w14:paraId="0000002C" w14:textId="77777777" w:rsidR="00B329B3" w:rsidRDefault="00B329B3">
      <w:pPr>
        <w:ind w:left="720"/>
      </w:pPr>
    </w:p>
    <w:p w14:paraId="0000002D" w14:textId="77777777" w:rsidR="00B329B3" w:rsidRDefault="004A6105">
      <w:pPr>
        <w:numPr>
          <w:ilvl w:val="0"/>
          <w:numId w:val="1"/>
        </w:numPr>
        <w:rPr>
          <w:b/>
        </w:rPr>
      </w:pPr>
      <w:r>
        <w:rPr>
          <w:b/>
        </w:rPr>
        <w:t>ř. 1182 zhodnocení dopadu ukončených výběrových řízení</w:t>
      </w:r>
    </w:p>
    <w:p w14:paraId="0000002E" w14:textId="77777777" w:rsidR="00B329B3" w:rsidRDefault="00B329B3">
      <w:pPr>
        <w:ind w:left="720"/>
      </w:pPr>
    </w:p>
    <w:p w14:paraId="0000002F" w14:textId="77777777" w:rsidR="00B329B3" w:rsidRDefault="004A6105">
      <w:pPr>
        <w:ind w:left="720"/>
      </w:pPr>
      <w:r>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w:t>
      </w:r>
      <w:r>
        <w:lastRenderedPageBreak/>
        <w:t xml:space="preserve">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 Nehledě na to, že se při analytických úvahách nelze o předpoklady opírat v takové míře, protože takové právě vlivem deregulace vůbec nemusí nastat, případně nemusí nastat vlivem více různých vlivů. </w:t>
      </w:r>
    </w:p>
    <w:p w14:paraId="00000030" w14:textId="77777777" w:rsidR="00B329B3" w:rsidRDefault="00B329B3">
      <w:pPr>
        <w:ind w:left="720"/>
      </w:pPr>
    </w:p>
    <w:p w14:paraId="00000031" w14:textId="77777777" w:rsidR="00B329B3" w:rsidRDefault="004A6105">
      <w:pPr>
        <w:numPr>
          <w:ilvl w:val="0"/>
          <w:numId w:val="1"/>
        </w:numPr>
        <w:rPr>
          <w:b/>
        </w:rPr>
      </w:pPr>
      <w:r>
        <w:rPr>
          <w:b/>
        </w:rPr>
        <w:t>ř. 1330 a násl. nehomogennost prostředí</w:t>
      </w:r>
    </w:p>
    <w:p w14:paraId="00000032" w14:textId="77777777" w:rsidR="00B329B3" w:rsidRDefault="00B329B3"/>
    <w:p w14:paraId="00000033" w14:textId="77777777" w:rsidR="00B329B3" w:rsidRDefault="004A6105">
      <w:r>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t>like</w:t>
      </w:r>
      <w:proofErr w:type="spellEnd"/>
      <w:r>
        <w:t xml:space="preserve"> </w:t>
      </w:r>
      <w:proofErr w:type="spellStart"/>
      <w:r>
        <w:t>fibre</w:t>
      </w:r>
      <w:proofErr w:type="spellEnd"/>
      <w:r>
        <w:t xml:space="preserve"> </w:t>
      </w:r>
      <w:proofErr w:type="spellStart"/>
      <w:r>
        <w:t>experience</w:t>
      </w:r>
      <w:proofErr w:type="spellEnd"/>
      <w:r>
        <w:t>” (např. 60 GHz) vyzdvihuje jejich technické vlastnosti a ekonomickou nenáročnost. Prosíme vysvětlit a odstranit tento rozpor a následně upravit závěry analýzy.</w:t>
      </w:r>
    </w:p>
    <w:p w14:paraId="00000034" w14:textId="77777777" w:rsidR="00B329B3" w:rsidRDefault="00B329B3"/>
    <w:p w14:paraId="00000035" w14:textId="77777777" w:rsidR="00B329B3" w:rsidRDefault="004A6105">
      <w:pPr>
        <w:numPr>
          <w:ilvl w:val="0"/>
          <w:numId w:val="1"/>
        </w:numPr>
        <w:pBdr>
          <w:top w:val="nil"/>
          <w:left w:val="nil"/>
          <w:bottom w:val="nil"/>
          <w:right w:val="nil"/>
          <w:between w:val="nil"/>
        </w:pBdr>
        <w:rPr>
          <w:b/>
        </w:rPr>
      </w:pPr>
      <w:r>
        <w:rPr>
          <w:b/>
        </w:rPr>
        <w:t>ř. 1350 stanovení geografické jednotky</w:t>
      </w:r>
    </w:p>
    <w:p w14:paraId="00000036" w14:textId="77777777" w:rsidR="00B329B3" w:rsidRDefault="00B329B3"/>
    <w:p w14:paraId="00000037" w14:textId="77777777" w:rsidR="00B329B3" w:rsidRDefault="004A6105">
      <w:r>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38" w14:textId="77777777" w:rsidR="00B329B3" w:rsidRDefault="004A6105">
      <w:r>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39" w14:textId="77777777" w:rsidR="00B329B3" w:rsidRDefault="004A6105">
      <w:r>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(ř. 1384 a násl.). Tomuto zkreslení se ale nevyhne ani při stanovení obce jako geografické jednotky, protože v Česku jsou četné obce s nerovnoměrným osídlením, kumulací obyvatel například v tzv. satelitní části obce apod. </w:t>
      </w:r>
    </w:p>
    <w:p w14:paraId="0000003A" w14:textId="77777777" w:rsidR="00B329B3" w:rsidRDefault="004A6105">
      <w:r>
        <w:t xml:space="preserve">Je zřejmé, že pokud se ČTÚ rozhodne setrvat na geografickém členění, musí tento krok velmi pečlivě a bezchybně zdůvodnit už jen proto, že bude patřit mezi průkopníky v tomto přístupu na trhu </w:t>
      </w:r>
      <w:proofErr w:type="gramStart"/>
      <w:r>
        <w:t>3b</w:t>
      </w:r>
      <w:proofErr w:type="gramEnd"/>
      <w:r>
        <w:t xml:space="preserve">, kdy podle dostupných informací se cestou geografické segmentace vydalo pouze 10 členských států EU (podle </w:t>
      </w:r>
      <w:proofErr w:type="spellStart"/>
      <w:r>
        <w:t>Cullen</w:t>
      </w:r>
      <w:proofErr w:type="spellEnd"/>
      <w:r>
        <w:t xml:space="preserve"> </w:t>
      </w:r>
      <w:proofErr w:type="spellStart"/>
      <w:r>
        <w:t>Internetional</w:t>
      </w:r>
      <w:proofErr w:type="spellEnd"/>
      <w:r>
        <w:t xml:space="preserve"> stav k 1. července 2021). </w:t>
      </w:r>
    </w:p>
    <w:p w14:paraId="0000003B" w14:textId="77777777" w:rsidR="00B329B3" w:rsidRDefault="004A6105">
      <w:r>
        <w:lastRenderedPageBreak/>
        <w:t xml:space="preserve">Geografické členění na úrovni obce musíme odmítnout a žádáme ČTÚ o přepracování návrhu analýzy. </w:t>
      </w:r>
    </w:p>
    <w:p w14:paraId="0000003C" w14:textId="77777777" w:rsidR="00B329B3" w:rsidRDefault="00B329B3"/>
    <w:p w14:paraId="0000003D" w14:textId="77777777" w:rsidR="00B329B3" w:rsidRDefault="004A6105">
      <w:pPr>
        <w:numPr>
          <w:ilvl w:val="0"/>
          <w:numId w:val="1"/>
        </w:numPr>
        <w:pBdr>
          <w:top w:val="nil"/>
          <w:left w:val="nil"/>
          <w:bottom w:val="nil"/>
          <w:right w:val="nil"/>
          <w:between w:val="nil"/>
        </w:pBdr>
        <w:rPr>
          <w:b/>
        </w:rPr>
      </w:pPr>
      <w:r>
        <w:rPr>
          <w:b/>
        </w:rPr>
        <w:t>ř. 1798 a násl Vliv faktorů na úrovně cen v jednotlivých oblastech</w:t>
      </w:r>
    </w:p>
    <w:p w14:paraId="0000003E" w14:textId="77777777" w:rsidR="00B329B3" w:rsidRDefault="00B329B3"/>
    <w:p w14:paraId="0000003F" w14:textId="77777777" w:rsidR="00B329B3" w:rsidRDefault="004A6105">
      <w:r>
        <w:t xml:space="preserve">ČTÚ v této části analýzy popisuje své domněnky ohledně vlivu počtu technologií v geografických jednotkách na ceny za poskytované služby. Bohužel sám ČTÚ přiznává, že se jedná o domněnky, neboť v závěru (ř. 1798) “úřad nevylučuje i vliv dalších faktorů na úrovně cen v jednotlivých oblastech, mezi které může patřit například různá kupní síla obyvatel…” </w:t>
      </w:r>
    </w:p>
    <w:p w14:paraId="00000040" w14:textId="77777777" w:rsidR="00B329B3" w:rsidRDefault="004A6105">
      <w:r>
        <w:t>Úřad dále vychází ze špatné domněnky,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1" w14:textId="77777777" w:rsidR="00B329B3" w:rsidRDefault="004A6105">
      <w:r>
        <w:t>Požadujeme přepracování této části tak, aby ČTÚ nestavěl závěry návrhu analýzy na domněnkách a pocitech, ale na faktech a datech, které má k dispozici.</w:t>
      </w:r>
    </w:p>
    <w:p w14:paraId="00000042" w14:textId="77777777" w:rsidR="00B329B3" w:rsidRDefault="00B329B3"/>
    <w:p w14:paraId="00000043" w14:textId="77777777" w:rsidR="00B329B3" w:rsidRDefault="004A6105">
      <w:pPr>
        <w:numPr>
          <w:ilvl w:val="0"/>
          <w:numId w:val="1"/>
        </w:numPr>
        <w:rPr>
          <w:b/>
        </w:rPr>
      </w:pPr>
      <w:r>
        <w:rPr>
          <w:b/>
        </w:rPr>
        <w:t>ř. 2928 Test tří kritérií</w:t>
      </w:r>
    </w:p>
    <w:p w14:paraId="00000044" w14:textId="77777777" w:rsidR="00B329B3" w:rsidRDefault="00B329B3"/>
    <w:p w14:paraId="00000045" w14:textId="77777777" w:rsidR="00B329B3" w:rsidRDefault="004A6105">
      <w:r>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2989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w:t>
      </w:r>
      <w:proofErr w:type="spellStart"/>
      <w:r>
        <w:t>ptydepe</w:t>
      </w:r>
      <w:proofErr w:type="spellEnd"/>
      <w:r>
        <w:t xml:space="preserve"> ČTÚ zapomíná na realitu v oblasti nestability stavebního řízení, kdy schválená rekodifikace stavebního zákona by měla mít (dle vyjádření nové vlády) pozastavenou účinnost (či dokonce by mělo dojít ke zrušení tohoto zákona). To je jen jeden z příkladů, proč považujeme provedený 3K test za nedostatečný a požadujeme důrazně jeho přepracování. Připomínáme, že sektor již dokonce celé roky volá po zásadních změnách například v zákoně 194/2017Sb. O usnadnění výstavby, a to zcela marně. Je třeba dodat, že i přes nepochybné legislativní změny se tyto nedaří uvádět do praxe, </w:t>
      </w:r>
      <w:proofErr w:type="gramStart"/>
      <w:r>
        <w:t>zejména</w:t>
      </w:r>
      <w:proofErr w:type="gramEnd"/>
      <w:r>
        <w:t xml:space="preserve"> a právě v oblastech intravilánu je výstavba dlouhodobě nemožná kvůli postojům samospráv. </w:t>
      </w:r>
    </w:p>
    <w:p w14:paraId="00000046" w14:textId="77777777" w:rsidR="00B329B3" w:rsidRDefault="00B329B3"/>
    <w:p w14:paraId="00000047" w14:textId="77777777" w:rsidR="00B329B3" w:rsidRDefault="004A6105">
      <w:pPr>
        <w:rPr>
          <w:color w:val="000000"/>
        </w:rPr>
      </w:pPr>
      <w:r>
        <w:rPr>
          <w:color w:val="000000"/>
        </w:rPr>
        <w:t xml:space="preserve">Regulátor nevyhodnotil možné dopady ztráty regulatorních nástrojů na vývoj trhu. </w:t>
      </w:r>
    </w:p>
    <w:p w14:paraId="0E929803" w14:textId="69DBBB41" w:rsidR="00A926B0" w:rsidRDefault="00A926B0" w:rsidP="00A926B0">
      <w:pPr>
        <w:spacing w:before="240"/>
      </w:pPr>
      <w:bookmarkStart w:id="3" w:name="_Hlk90972899"/>
      <w:r>
        <w:t>V </w:t>
      </w:r>
      <w:proofErr w:type="gramStart"/>
      <w:r>
        <w:t>Plzni  21.</w:t>
      </w:r>
      <w:proofErr w:type="gramEnd"/>
      <w:r>
        <w:t xml:space="preserve"> prosince 2021</w:t>
      </w:r>
    </w:p>
    <w:p w14:paraId="28DE62C3" w14:textId="4997F109" w:rsidR="00A926B0" w:rsidRDefault="00A926B0" w:rsidP="00A926B0">
      <w:pPr>
        <w:spacing w:before="120"/>
      </w:pPr>
      <w:r>
        <w:t xml:space="preserve">Pavel Hais, člen správní rady </w:t>
      </w:r>
    </w:p>
    <w:bookmarkEnd w:id="3"/>
    <w:p w14:paraId="00000052" w14:textId="77777777" w:rsidR="00B329B3" w:rsidRDefault="00B329B3"/>
    <w:sectPr w:rsidR="00B329B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25E1"/>
    <w:multiLevelType w:val="multilevel"/>
    <w:tmpl w:val="EA323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B3"/>
    <w:rsid w:val="004A6105"/>
    <w:rsid w:val="00A926B0"/>
    <w:rsid w:val="00B329B3"/>
    <w:rsid w:val="00F63F62"/>
    <w:rsid w:val="00F85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0622"/>
  <w15:docId w15:val="{C45AE252-9A9C-4B72-92AA-BB594ED6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0fB4jrV8mUo1ewcwR8TgyjLQ==">AMUW2mXp6tSVNEVaJPcXkV2yTmxtDIzHHm5Wvh0VfM/XKNSiBkcWZ8acSbGQp2QJVPAN/6/EmQyof/mBS8Mdm540ZDHXRlAnkJdGxVRCBWcNlshraVU9AlMRpZ/9iBqhXsl4Oq7oZdUV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9334</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DUDA Jiří</cp:lastModifiedBy>
  <cp:revision>2</cp:revision>
  <dcterms:created xsi:type="dcterms:W3CDTF">2021-12-22T09:03:00Z</dcterms:created>
  <dcterms:modified xsi:type="dcterms:W3CDTF">2021-12-22T09:03:00Z</dcterms:modified>
</cp:coreProperties>
</file>