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DFBE8" w14:textId="37EEDA63" w:rsidR="00130CD5" w:rsidRPr="00423ADB" w:rsidRDefault="00130CD5" w:rsidP="00973C90">
      <w:pPr>
        <w:tabs>
          <w:tab w:val="left" w:pos="451"/>
          <w:tab w:val="center" w:pos="4536"/>
          <w:tab w:val="left" w:pos="5009"/>
          <w:tab w:val="right" w:pos="9072"/>
        </w:tabs>
        <w:spacing w:before="1710" w:after="0" w:line="240" w:lineRule="auto"/>
        <w:jc w:val="right"/>
        <w:rPr>
          <w:rFonts w:ascii="Arial" w:hAnsi="Arial" w:cs="Arial"/>
          <w:b/>
          <w:lang w:eastAsia="cs-CZ"/>
        </w:rPr>
      </w:pPr>
      <w:r w:rsidRPr="00423ADB">
        <w:rPr>
          <w:rFonts w:ascii="Arial" w:hAnsi="Arial" w:cs="Arial"/>
          <w:lang w:eastAsia="cs-CZ"/>
        </w:rPr>
        <w:t xml:space="preserve">Praha </w:t>
      </w:r>
      <w:r w:rsidRPr="00423ADB">
        <w:rPr>
          <w:rFonts w:ascii="Arial" w:hAnsi="Arial" w:cs="Arial"/>
        </w:rPr>
        <w:t>XX</w:t>
      </w:r>
      <w:r w:rsidRPr="00423ADB">
        <w:rPr>
          <w:rFonts w:ascii="Arial" w:hAnsi="Arial" w:cs="Arial"/>
          <w:lang w:eastAsia="cs-CZ"/>
        </w:rPr>
        <w:t xml:space="preserve">. </w:t>
      </w:r>
      <w:r w:rsidR="00141A4F">
        <w:rPr>
          <w:rFonts w:ascii="Arial" w:hAnsi="Arial" w:cs="Arial"/>
          <w:lang w:eastAsia="cs-CZ"/>
        </w:rPr>
        <w:t>měsíc</w:t>
      </w:r>
      <w:bookmarkStart w:id="0" w:name="_GoBack"/>
      <w:bookmarkEnd w:id="0"/>
      <w:r w:rsidR="00CB701B" w:rsidRPr="00423ADB">
        <w:rPr>
          <w:rFonts w:ascii="Arial" w:hAnsi="Arial" w:cs="Arial"/>
          <w:lang w:eastAsia="cs-CZ"/>
        </w:rPr>
        <w:t xml:space="preserve"> </w:t>
      </w:r>
      <w:r w:rsidRPr="00423ADB">
        <w:rPr>
          <w:rFonts w:ascii="Arial" w:hAnsi="Arial" w:cs="Arial"/>
          <w:lang w:eastAsia="cs-CZ"/>
        </w:rPr>
        <w:t>2019</w:t>
      </w:r>
    </w:p>
    <w:p w14:paraId="4CD5D164" w14:textId="3EA5D659" w:rsidR="00130CD5" w:rsidRPr="00423ADB" w:rsidRDefault="00130CD5" w:rsidP="00973C90">
      <w:pPr>
        <w:tabs>
          <w:tab w:val="left" w:pos="6096"/>
        </w:tabs>
        <w:spacing w:after="240" w:line="240" w:lineRule="auto"/>
        <w:jc w:val="right"/>
        <w:rPr>
          <w:rFonts w:ascii="Arial" w:hAnsi="Arial" w:cs="Arial"/>
          <w:lang w:eastAsia="cs-CZ"/>
        </w:rPr>
      </w:pPr>
      <w:r w:rsidRPr="00423ADB">
        <w:rPr>
          <w:rFonts w:ascii="Arial" w:hAnsi="Arial" w:cs="Arial"/>
          <w:lang w:eastAsia="cs-CZ"/>
        </w:rPr>
        <w:t xml:space="preserve">Čj. </w:t>
      </w:r>
      <w:r w:rsidR="00DA41BC" w:rsidRPr="00423ADB">
        <w:rPr>
          <w:rFonts w:ascii="Arial" w:hAnsi="Arial" w:cs="Arial"/>
          <w:lang w:eastAsia="cs-CZ"/>
        </w:rPr>
        <w:t>ČTÚ-XXX XXX/</w:t>
      </w:r>
      <w:r w:rsidR="00973C90" w:rsidRPr="00423ADB">
        <w:rPr>
          <w:rFonts w:ascii="Arial" w:hAnsi="Arial" w:cs="Arial"/>
          <w:lang w:eastAsia="cs-CZ"/>
        </w:rPr>
        <w:t>2019</w:t>
      </w:r>
      <w:r w:rsidR="00DA41BC" w:rsidRPr="00423ADB">
        <w:rPr>
          <w:rFonts w:ascii="Arial" w:hAnsi="Arial" w:cs="Arial"/>
          <w:lang w:eastAsia="cs-CZ"/>
        </w:rPr>
        <w:t>-</w:t>
      </w:r>
      <w:r w:rsidR="00973C90" w:rsidRPr="00423ADB">
        <w:rPr>
          <w:rFonts w:ascii="Arial" w:hAnsi="Arial" w:cs="Arial"/>
          <w:lang w:eastAsia="cs-CZ"/>
        </w:rPr>
        <w:t>611</w:t>
      </w:r>
    </w:p>
    <w:p w14:paraId="34F110FC" w14:textId="47119081" w:rsidR="00130CD5" w:rsidRPr="00423ADB" w:rsidRDefault="00130CD5" w:rsidP="00130CD5">
      <w:pPr>
        <w:spacing w:after="0" w:line="240" w:lineRule="auto"/>
        <w:ind w:firstLine="709"/>
        <w:jc w:val="both"/>
        <w:rPr>
          <w:rFonts w:ascii="Arial" w:hAnsi="Arial" w:cs="Arial"/>
          <w:lang w:eastAsia="cs-CZ"/>
        </w:rPr>
      </w:pPr>
      <w:r w:rsidRPr="00423ADB">
        <w:rPr>
          <w:rFonts w:ascii="Arial" w:hAnsi="Arial" w:cs="Arial"/>
          <w:lang w:eastAsia="cs-CZ"/>
        </w:rPr>
        <w:t>Český telekomunikační úřad (dále jen „Úřad“) jako příslušný správní orgán podle § 108 odst. 1 písm. b) zákona č. 127/2005 Sb., o elektronických komunikacích a o změně některých souvisejících zákonů (zákon o elektronických komunikacích</w:t>
      </w:r>
      <w:bookmarkStart w:id="1" w:name="_Hlk19005233"/>
      <w:r w:rsidRPr="00423ADB">
        <w:rPr>
          <w:rFonts w:ascii="Arial" w:hAnsi="Arial" w:cs="Arial"/>
          <w:lang w:eastAsia="cs-CZ"/>
        </w:rPr>
        <w:t>), ve znění pozdějších předpisů</w:t>
      </w:r>
      <w:bookmarkEnd w:id="1"/>
      <w:r w:rsidRPr="00423ADB">
        <w:rPr>
          <w:rFonts w:ascii="Arial" w:hAnsi="Arial" w:cs="Arial"/>
          <w:lang w:eastAsia="cs-CZ"/>
        </w:rPr>
        <w:t xml:space="preserve"> (dále jen „Zákon“) a zákona č. 500/2004 Sb., správní řád, </w:t>
      </w:r>
      <w:r w:rsidR="00061981" w:rsidRPr="00423ADB">
        <w:rPr>
          <w:rFonts w:ascii="Arial" w:hAnsi="Arial" w:cs="Arial"/>
          <w:lang w:eastAsia="cs-CZ"/>
        </w:rPr>
        <w:t>ve znění pozdějších předpisů</w:t>
      </w:r>
      <w:r w:rsidR="008E7032" w:rsidRPr="00423ADB">
        <w:rPr>
          <w:rFonts w:ascii="Arial" w:hAnsi="Arial" w:cs="Arial"/>
          <w:lang w:eastAsia="cs-CZ"/>
        </w:rPr>
        <w:t>,</w:t>
      </w:r>
      <w:r w:rsidR="00061981" w:rsidRPr="00423ADB">
        <w:rPr>
          <w:rFonts w:ascii="Arial" w:hAnsi="Arial" w:cs="Arial"/>
          <w:lang w:eastAsia="cs-CZ"/>
        </w:rPr>
        <w:t xml:space="preserve"> </w:t>
      </w:r>
      <w:r w:rsidRPr="00423ADB">
        <w:rPr>
          <w:rFonts w:ascii="Arial" w:hAnsi="Arial" w:cs="Arial"/>
          <w:lang w:eastAsia="cs-CZ"/>
        </w:rPr>
        <w:t xml:space="preserve">na základě výsledků veřejné konzultace uskutečněné podle § 130 Zákona, rozhodnutí Rady Českého telekomunikačního úřadu podle § 107 odst. </w:t>
      </w:r>
      <w:r w:rsidR="00DC06CF" w:rsidRPr="00423ADB">
        <w:rPr>
          <w:rFonts w:ascii="Arial" w:hAnsi="Arial" w:cs="Arial"/>
          <w:lang w:eastAsia="cs-CZ"/>
        </w:rPr>
        <w:t>9</w:t>
      </w:r>
      <w:r w:rsidRPr="00423ADB">
        <w:rPr>
          <w:rFonts w:ascii="Arial" w:hAnsi="Arial" w:cs="Arial"/>
          <w:lang w:eastAsia="cs-CZ"/>
        </w:rPr>
        <w:t xml:space="preserve"> písm. b) bod </w:t>
      </w:r>
      <w:smartTag w:uri="urn:schemas-microsoft-com:office:smarttags" w:element="metricconverter">
        <w:smartTagPr>
          <w:attr w:name="ProductID" w:val="2 a"/>
        </w:smartTagPr>
        <w:r w:rsidRPr="00423ADB">
          <w:rPr>
            <w:rFonts w:ascii="Arial" w:hAnsi="Arial" w:cs="Arial"/>
            <w:lang w:eastAsia="cs-CZ"/>
          </w:rPr>
          <w:t>2 a</w:t>
        </w:r>
      </w:smartTag>
      <w:r w:rsidRPr="00423ADB">
        <w:rPr>
          <w:rFonts w:ascii="Arial" w:hAnsi="Arial" w:cs="Arial"/>
          <w:lang w:eastAsia="cs-CZ"/>
        </w:rPr>
        <w:t xml:space="preserve"> k provedení § 52 odst. 1 Zákona vydává </w:t>
      </w:r>
    </w:p>
    <w:p w14:paraId="5EC6F282" w14:textId="5E3E04FD" w:rsidR="00130CD5" w:rsidRPr="00423ADB" w:rsidRDefault="00130CD5" w:rsidP="0008098E">
      <w:pPr>
        <w:keepNext/>
        <w:spacing w:before="480" w:after="480" w:line="240" w:lineRule="auto"/>
        <w:jc w:val="center"/>
        <w:outlineLvl w:val="2"/>
        <w:rPr>
          <w:rFonts w:ascii="Arial" w:hAnsi="Arial" w:cs="Arial"/>
          <w:b/>
          <w:bCs/>
          <w:lang w:eastAsia="cs-CZ"/>
        </w:rPr>
      </w:pPr>
      <w:bookmarkStart w:id="2" w:name="_Toc15454803"/>
      <w:r w:rsidRPr="00423ADB">
        <w:rPr>
          <w:rFonts w:ascii="Arial" w:hAnsi="Arial" w:cs="Arial"/>
          <w:b/>
          <w:bCs/>
          <w:lang w:eastAsia="cs-CZ"/>
        </w:rPr>
        <w:t>opatření obecné povahy č. OOP/1/</w:t>
      </w:r>
      <w:r w:rsidR="00F40C98" w:rsidRPr="00423ADB">
        <w:rPr>
          <w:rFonts w:ascii="Arial" w:hAnsi="Arial" w:cs="Arial"/>
          <w:b/>
          <w:bCs/>
          <w:lang w:eastAsia="cs-CZ"/>
        </w:rPr>
        <w:t>XX</w:t>
      </w:r>
      <w:r w:rsidRPr="00423ADB">
        <w:rPr>
          <w:rFonts w:ascii="Arial" w:hAnsi="Arial" w:cs="Arial"/>
          <w:b/>
          <w:bCs/>
          <w:lang w:eastAsia="cs-CZ"/>
        </w:rPr>
        <w:t>.2019-Y,</w:t>
      </w:r>
      <w:bookmarkStart w:id="3" w:name="_Toc15454804"/>
      <w:bookmarkEnd w:id="2"/>
      <w:r w:rsidR="0008098E" w:rsidRPr="00423ADB">
        <w:rPr>
          <w:rFonts w:ascii="Arial" w:hAnsi="Arial" w:cs="Arial"/>
          <w:b/>
          <w:bCs/>
          <w:lang w:eastAsia="cs-CZ"/>
        </w:rPr>
        <w:br/>
      </w:r>
      <w:r w:rsidR="005C456E" w:rsidRPr="00423ADB">
        <w:rPr>
          <w:rFonts w:ascii="Arial" w:hAnsi="Arial" w:cs="Arial"/>
          <w:b/>
          <w:bCs/>
          <w:lang w:eastAsia="cs-CZ"/>
        </w:rPr>
        <w:t xml:space="preserve">kterým se mění opatření obecné povahy č. </w:t>
      </w:r>
      <w:r w:rsidR="00C5455E" w:rsidRPr="00423ADB">
        <w:rPr>
          <w:rFonts w:ascii="Arial" w:hAnsi="Arial" w:cs="Arial"/>
          <w:b/>
        </w:rPr>
        <w:t>OOP/1/</w:t>
      </w:r>
      <w:r w:rsidR="00BE2FB9" w:rsidRPr="00423ADB">
        <w:rPr>
          <w:rFonts w:ascii="Arial" w:hAnsi="Arial" w:cs="Arial"/>
          <w:b/>
        </w:rPr>
        <w:t>04.2015-2</w:t>
      </w:r>
      <w:r w:rsidR="007C4744" w:rsidRPr="00423ADB">
        <w:rPr>
          <w:rFonts w:ascii="Arial" w:hAnsi="Arial" w:cs="Arial"/>
          <w:b/>
        </w:rPr>
        <w:t>,</w:t>
      </w:r>
      <w:bookmarkStart w:id="4" w:name="_Toc15454805"/>
      <w:bookmarkEnd w:id="3"/>
      <w:r w:rsidR="0008098E" w:rsidRPr="00423ADB">
        <w:rPr>
          <w:rFonts w:ascii="Arial" w:hAnsi="Arial" w:cs="Arial"/>
          <w:b/>
        </w:rPr>
        <w:br/>
      </w:r>
      <w:r w:rsidRPr="00423ADB">
        <w:rPr>
          <w:rFonts w:ascii="Arial" w:hAnsi="Arial" w:cs="Arial"/>
          <w:b/>
          <w:bCs/>
          <w:lang w:eastAsia="cs-CZ"/>
        </w:rPr>
        <w:t>kterým se stanoví relevantní trhy v oboru elektronických komunikací, včetně kritérií pro hodnocení významné tržní síly.</w:t>
      </w:r>
      <w:bookmarkEnd w:id="4"/>
    </w:p>
    <w:p w14:paraId="0196368B" w14:textId="77777777" w:rsidR="00A35BFB" w:rsidRPr="00423ADB" w:rsidRDefault="00130CD5" w:rsidP="00A35BFB">
      <w:pPr>
        <w:spacing w:before="240" w:after="60" w:line="240" w:lineRule="auto"/>
        <w:jc w:val="center"/>
        <w:outlineLvl w:val="5"/>
        <w:rPr>
          <w:rFonts w:ascii="Arial" w:hAnsi="Arial" w:cs="Arial"/>
          <w:bCs/>
          <w:lang w:eastAsia="cs-CZ"/>
        </w:rPr>
      </w:pPr>
      <w:r w:rsidRPr="00423ADB">
        <w:rPr>
          <w:rFonts w:ascii="Arial" w:hAnsi="Arial" w:cs="Arial"/>
          <w:bCs/>
          <w:lang w:eastAsia="cs-CZ"/>
        </w:rPr>
        <w:t>Článek 1</w:t>
      </w:r>
    </w:p>
    <w:p w14:paraId="21BA17B8" w14:textId="4037FFEE" w:rsidR="0075326D" w:rsidRPr="00423ADB" w:rsidRDefault="0075326D" w:rsidP="0063590E">
      <w:pPr>
        <w:spacing w:before="240" w:after="120" w:line="240" w:lineRule="auto"/>
        <w:ind w:firstLine="709"/>
        <w:jc w:val="both"/>
        <w:outlineLvl w:val="5"/>
        <w:rPr>
          <w:rFonts w:ascii="Arial" w:hAnsi="Arial" w:cs="Arial"/>
          <w:bCs/>
          <w:lang w:eastAsia="cs-CZ"/>
        </w:rPr>
      </w:pPr>
      <w:r w:rsidRPr="00423ADB">
        <w:rPr>
          <w:rFonts w:ascii="Arial" w:hAnsi="Arial" w:cs="Arial"/>
          <w:bCs/>
          <w:lang w:eastAsia="cs-CZ"/>
        </w:rPr>
        <w:t>V článku 2 opatření obecné povahy č. OOP/1/0</w:t>
      </w:r>
      <w:r w:rsidR="006C1F09" w:rsidRPr="00423ADB">
        <w:rPr>
          <w:rFonts w:ascii="Arial" w:hAnsi="Arial" w:cs="Arial"/>
          <w:bCs/>
          <w:lang w:eastAsia="cs-CZ"/>
        </w:rPr>
        <w:t>4</w:t>
      </w:r>
      <w:r w:rsidRPr="00423ADB">
        <w:rPr>
          <w:rFonts w:ascii="Arial" w:hAnsi="Arial" w:cs="Arial"/>
          <w:bCs/>
          <w:lang w:eastAsia="cs-CZ"/>
        </w:rPr>
        <w:t>.20</w:t>
      </w:r>
      <w:r w:rsidR="006C1F09" w:rsidRPr="00423ADB">
        <w:rPr>
          <w:rFonts w:ascii="Arial" w:hAnsi="Arial" w:cs="Arial"/>
          <w:bCs/>
          <w:lang w:eastAsia="cs-CZ"/>
        </w:rPr>
        <w:t>15</w:t>
      </w:r>
      <w:r w:rsidRPr="00423ADB">
        <w:rPr>
          <w:rFonts w:ascii="Arial" w:hAnsi="Arial" w:cs="Arial"/>
          <w:bCs/>
          <w:lang w:eastAsia="cs-CZ"/>
        </w:rPr>
        <w:t xml:space="preserve">-2, kterým se stanoví relevantní trhy v oboru elektronických komunikací, včetně kritérií pro hodnocení významné tržní síly, odstavec 2 </w:t>
      </w:r>
      <w:r w:rsidR="00061981" w:rsidRPr="00423ADB">
        <w:rPr>
          <w:rFonts w:ascii="Arial" w:hAnsi="Arial" w:cs="Arial"/>
          <w:bCs/>
          <w:lang w:eastAsia="cs-CZ"/>
        </w:rPr>
        <w:t xml:space="preserve">nově </w:t>
      </w:r>
      <w:r w:rsidRPr="00423ADB">
        <w:rPr>
          <w:rFonts w:ascii="Arial" w:hAnsi="Arial" w:cs="Arial"/>
          <w:bCs/>
          <w:lang w:eastAsia="cs-CZ"/>
        </w:rPr>
        <w:t>zní:</w:t>
      </w:r>
    </w:p>
    <w:p w14:paraId="27F282C6" w14:textId="47194F3A" w:rsidR="005C456E" w:rsidRPr="00423ADB" w:rsidRDefault="0075326D" w:rsidP="006C1F09">
      <w:pPr>
        <w:tabs>
          <w:tab w:val="left" w:pos="1134"/>
        </w:tabs>
        <w:autoSpaceDE w:val="0"/>
        <w:autoSpaceDN w:val="0"/>
        <w:adjustRightInd w:val="0"/>
        <w:spacing w:after="240"/>
        <w:ind w:firstLine="709"/>
        <w:jc w:val="both"/>
        <w:rPr>
          <w:rFonts w:ascii="Arial" w:hAnsi="Arial" w:cs="Arial"/>
          <w:lang w:eastAsia="cs-CZ"/>
        </w:rPr>
      </w:pPr>
      <w:r w:rsidRPr="00423ADB">
        <w:rPr>
          <w:rFonts w:ascii="Arial" w:hAnsi="Arial" w:cs="Arial"/>
          <w:lang w:eastAsia="cs-CZ"/>
        </w:rPr>
        <w:t>„(2)</w:t>
      </w:r>
      <w:r w:rsidRPr="00423ADB">
        <w:rPr>
          <w:rFonts w:ascii="Arial" w:hAnsi="Arial" w:cs="Arial"/>
          <w:lang w:eastAsia="cs-CZ"/>
        </w:rPr>
        <w:tab/>
        <w:t>Relevantními trhy se rozumějí</w:t>
      </w:r>
      <w:r w:rsidR="006C1F09" w:rsidRPr="00423ADB">
        <w:rPr>
          <w:rFonts w:ascii="Arial" w:hAnsi="Arial" w:cs="Arial"/>
          <w:lang w:eastAsia="cs-CZ"/>
        </w:rPr>
        <w:t xml:space="preserve"> </w:t>
      </w:r>
      <w:r w:rsidR="006A724B" w:rsidRPr="00423ADB">
        <w:rPr>
          <w:rFonts w:ascii="Arial" w:hAnsi="Arial" w:cs="Arial"/>
        </w:rPr>
        <w:t>trhy služeb elektronických komunikací pro podnikatele zajišťující veřejně dostupné sítě nebo poskytující veřejně dostupné služby elektronických komunikací (velkoobchodní úroveň):</w:t>
      </w:r>
    </w:p>
    <w:p w14:paraId="017605E9" w14:textId="32D92299" w:rsidR="00724DA7" w:rsidRPr="00423ADB" w:rsidRDefault="00130CD5" w:rsidP="005C456E">
      <w:pPr>
        <w:autoSpaceDE w:val="0"/>
        <w:autoSpaceDN w:val="0"/>
        <w:adjustRightInd w:val="0"/>
        <w:spacing w:after="0" w:line="240" w:lineRule="auto"/>
        <w:jc w:val="both"/>
        <w:rPr>
          <w:rFonts w:ascii="Arial" w:eastAsiaTheme="minorHAnsi" w:hAnsi="Arial" w:cs="Arial"/>
        </w:rPr>
      </w:pPr>
      <w:r w:rsidRPr="00423ADB">
        <w:rPr>
          <w:rFonts w:ascii="Arial" w:hAnsi="Arial" w:cs="Arial"/>
          <w:lang w:eastAsia="cs-CZ"/>
        </w:rPr>
        <w:t>trh č. 1</w:t>
      </w:r>
      <w:r w:rsidRPr="00423ADB">
        <w:rPr>
          <w:rFonts w:ascii="Arial" w:hAnsi="Arial" w:cs="Arial"/>
          <w:lang w:eastAsia="cs-CZ"/>
        </w:rPr>
        <w:tab/>
      </w:r>
      <w:r w:rsidR="00993586" w:rsidRPr="00423ADB">
        <w:rPr>
          <w:rFonts w:ascii="Arial" w:hAnsi="Arial" w:cs="Arial"/>
          <w:lang w:eastAsia="cs-CZ"/>
        </w:rPr>
        <w:t xml:space="preserve">      </w:t>
      </w:r>
      <w:r w:rsidR="00724DA7" w:rsidRPr="00423ADB">
        <w:rPr>
          <w:rFonts w:ascii="Arial" w:eastAsiaTheme="minorHAnsi" w:hAnsi="Arial" w:cs="Arial"/>
        </w:rPr>
        <w:t>velkoobchodní služby ukončení volání v jednotlivých veřejných telefonních</w:t>
      </w:r>
    </w:p>
    <w:p w14:paraId="291FBE2D" w14:textId="27CD59EB" w:rsidR="00130CD5" w:rsidRPr="00423ADB" w:rsidRDefault="00724DA7" w:rsidP="00724DA7">
      <w:pPr>
        <w:autoSpaceDE w:val="0"/>
        <w:autoSpaceDN w:val="0"/>
        <w:adjustRightInd w:val="0"/>
        <w:spacing w:after="240"/>
        <w:ind w:left="1418"/>
        <w:jc w:val="both"/>
        <w:rPr>
          <w:rFonts w:ascii="Arial" w:hAnsi="Arial" w:cs="Arial"/>
          <w:lang w:eastAsia="cs-CZ"/>
        </w:rPr>
      </w:pPr>
      <w:r w:rsidRPr="00423ADB">
        <w:rPr>
          <w:rFonts w:ascii="Arial" w:eastAsiaTheme="minorHAnsi" w:hAnsi="Arial" w:cs="Arial"/>
        </w:rPr>
        <w:t>sítích poskytovaných v pevném místě,</w:t>
      </w:r>
    </w:p>
    <w:p w14:paraId="5181F0D0" w14:textId="5BC07199" w:rsidR="00130CD5" w:rsidRPr="00423ADB" w:rsidRDefault="00130CD5" w:rsidP="005D424F">
      <w:pPr>
        <w:autoSpaceDE w:val="0"/>
        <w:autoSpaceDN w:val="0"/>
        <w:adjustRightInd w:val="0"/>
        <w:spacing w:after="240"/>
        <w:ind w:left="1418" w:hanging="1418"/>
        <w:jc w:val="both"/>
        <w:rPr>
          <w:rFonts w:ascii="Arial" w:hAnsi="Arial" w:cs="Arial"/>
          <w:lang w:eastAsia="cs-CZ"/>
        </w:rPr>
      </w:pPr>
      <w:r w:rsidRPr="00423ADB">
        <w:rPr>
          <w:rFonts w:ascii="Arial" w:hAnsi="Arial" w:cs="Arial"/>
          <w:lang w:eastAsia="cs-CZ"/>
        </w:rPr>
        <w:t>trh č. 2</w:t>
      </w:r>
      <w:r w:rsidRPr="00423ADB">
        <w:rPr>
          <w:rFonts w:ascii="Arial" w:hAnsi="Arial" w:cs="Arial"/>
          <w:lang w:eastAsia="cs-CZ"/>
        </w:rPr>
        <w:tab/>
      </w:r>
      <w:r w:rsidR="00DC06CF" w:rsidRPr="00423ADB">
        <w:rPr>
          <w:rFonts w:ascii="Arial" w:eastAsiaTheme="minorHAnsi" w:hAnsi="Arial" w:cs="Arial"/>
        </w:rPr>
        <w:t>velkoobchodní služby ukončení hlasového volání v jednotlivých mobilních sítích</w:t>
      </w:r>
      <w:r w:rsidRPr="00423ADB">
        <w:rPr>
          <w:rFonts w:ascii="Arial" w:eastAsiaTheme="minorHAnsi" w:hAnsi="Arial" w:cs="Arial"/>
        </w:rPr>
        <w:t>,</w:t>
      </w:r>
    </w:p>
    <w:p w14:paraId="01003422" w14:textId="450F9716" w:rsidR="00130CD5" w:rsidRPr="00423ADB" w:rsidRDefault="00130CD5" w:rsidP="00130CD5">
      <w:pPr>
        <w:autoSpaceDE w:val="0"/>
        <w:autoSpaceDN w:val="0"/>
        <w:adjustRightInd w:val="0"/>
        <w:spacing w:after="240"/>
        <w:ind w:left="1418" w:hanging="1418"/>
        <w:jc w:val="both"/>
        <w:rPr>
          <w:rFonts w:ascii="Arial" w:hAnsi="Arial" w:cs="Arial"/>
          <w:lang w:eastAsia="cs-CZ"/>
        </w:rPr>
      </w:pPr>
      <w:r w:rsidRPr="00423ADB">
        <w:rPr>
          <w:rFonts w:ascii="Arial" w:hAnsi="Arial" w:cs="Arial"/>
          <w:lang w:eastAsia="cs-CZ"/>
        </w:rPr>
        <w:t>trh č. 3</w:t>
      </w:r>
      <w:r w:rsidR="00724DA7" w:rsidRPr="00423ADB">
        <w:rPr>
          <w:rFonts w:ascii="Arial" w:hAnsi="Arial" w:cs="Arial"/>
          <w:lang w:eastAsia="cs-CZ"/>
        </w:rPr>
        <w:t>a</w:t>
      </w:r>
      <w:r w:rsidRPr="00423ADB">
        <w:rPr>
          <w:rFonts w:ascii="Arial" w:hAnsi="Arial" w:cs="Arial"/>
          <w:lang w:eastAsia="cs-CZ"/>
        </w:rPr>
        <w:tab/>
      </w:r>
      <w:r w:rsidR="00724DA7" w:rsidRPr="00423ADB">
        <w:rPr>
          <w:rFonts w:ascii="Arial" w:hAnsi="Arial" w:cs="Arial"/>
          <w:lang w:eastAsia="cs-CZ"/>
        </w:rPr>
        <w:t>velkoobchodní služby s místním přístupem poskytovaným v pevném místě,</w:t>
      </w:r>
    </w:p>
    <w:p w14:paraId="49B7C84F" w14:textId="0B51329E" w:rsidR="00724DA7" w:rsidRPr="00423ADB" w:rsidRDefault="00724DA7" w:rsidP="00130CD5">
      <w:pPr>
        <w:autoSpaceDE w:val="0"/>
        <w:autoSpaceDN w:val="0"/>
        <w:adjustRightInd w:val="0"/>
        <w:spacing w:after="240"/>
        <w:ind w:left="1418" w:hanging="1418"/>
        <w:jc w:val="both"/>
        <w:rPr>
          <w:rFonts w:ascii="Arial" w:hAnsi="Arial" w:cs="Arial"/>
          <w:lang w:eastAsia="cs-CZ"/>
        </w:rPr>
      </w:pPr>
      <w:r w:rsidRPr="00423ADB">
        <w:rPr>
          <w:rFonts w:ascii="Arial" w:hAnsi="Arial" w:cs="Arial"/>
          <w:lang w:eastAsia="cs-CZ"/>
        </w:rPr>
        <w:t>trh č. 3b</w:t>
      </w:r>
      <w:r w:rsidRPr="00423ADB">
        <w:rPr>
          <w:rFonts w:ascii="Arial" w:hAnsi="Arial" w:cs="Arial"/>
          <w:lang w:eastAsia="cs-CZ"/>
        </w:rPr>
        <w:tab/>
        <w:t>velkoobchodní služby s centrálním přístupem poskytovaným v pevném místě pro výrobky pro širokou spotřebu,</w:t>
      </w:r>
    </w:p>
    <w:p w14:paraId="7FDCA449" w14:textId="65B35AEF" w:rsidR="00130CD5" w:rsidRPr="00423ADB" w:rsidRDefault="00130CD5" w:rsidP="00130CD5">
      <w:pPr>
        <w:autoSpaceDE w:val="0"/>
        <w:autoSpaceDN w:val="0"/>
        <w:adjustRightInd w:val="0"/>
        <w:spacing w:after="240"/>
        <w:ind w:left="1418" w:hanging="1418"/>
        <w:jc w:val="both"/>
        <w:rPr>
          <w:rFonts w:ascii="Arial" w:hAnsi="Arial" w:cs="Arial"/>
          <w:lang w:eastAsia="cs-CZ"/>
        </w:rPr>
      </w:pPr>
      <w:r w:rsidRPr="00423ADB">
        <w:rPr>
          <w:rFonts w:ascii="Arial" w:hAnsi="Arial" w:cs="Arial"/>
          <w:lang w:eastAsia="cs-CZ"/>
        </w:rPr>
        <w:t>trh č. 4</w:t>
      </w:r>
      <w:r w:rsidRPr="00423ADB">
        <w:rPr>
          <w:rFonts w:ascii="Arial" w:hAnsi="Arial" w:cs="Arial"/>
          <w:lang w:eastAsia="cs-CZ"/>
        </w:rPr>
        <w:tab/>
      </w:r>
      <w:r w:rsidR="00724DA7" w:rsidRPr="00423ADB">
        <w:rPr>
          <w:rFonts w:ascii="Arial" w:hAnsi="Arial" w:cs="Arial"/>
          <w:lang w:eastAsia="cs-CZ"/>
        </w:rPr>
        <w:t>velkoobchodní služby s vysoce kvalitním přístupem poskytovaným v pevném místě</w:t>
      </w:r>
      <w:r w:rsidR="00AB7A9D" w:rsidRPr="00423ADB">
        <w:rPr>
          <w:rFonts w:ascii="Arial" w:hAnsi="Arial" w:cs="Arial"/>
          <w:lang w:eastAsia="cs-CZ"/>
        </w:rPr>
        <w:t>,</w:t>
      </w:r>
    </w:p>
    <w:p w14:paraId="6C584B1C" w14:textId="43410FCF" w:rsidR="00130CD5" w:rsidRPr="00423ADB" w:rsidRDefault="00130CD5" w:rsidP="00EA2CF8">
      <w:pPr>
        <w:autoSpaceDE w:val="0"/>
        <w:autoSpaceDN w:val="0"/>
        <w:adjustRightInd w:val="0"/>
        <w:spacing w:after="240"/>
        <w:jc w:val="both"/>
        <w:rPr>
          <w:rFonts w:ascii="Arial" w:hAnsi="Arial" w:cs="Arial"/>
          <w:lang w:eastAsia="cs-CZ"/>
        </w:rPr>
      </w:pPr>
      <w:r w:rsidRPr="00423ADB">
        <w:rPr>
          <w:rFonts w:ascii="Arial" w:hAnsi="Arial" w:cs="Arial"/>
          <w:lang w:eastAsia="cs-CZ"/>
        </w:rPr>
        <w:t>trh č. 5</w:t>
      </w:r>
      <w:r w:rsidRPr="00423ADB">
        <w:rPr>
          <w:rFonts w:ascii="Arial" w:hAnsi="Arial" w:cs="Arial"/>
          <w:lang w:eastAsia="cs-CZ"/>
        </w:rPr>
        <w:tab/>
      </w:r>
      <w:r w:rsidRPr="00423ADB">
        <w:rPr>
          <w:rFonts w:ascii="Arial" w:hAnsi="Arial" w:cs="Arial"/>
          <w:lang w:eastAsia="cs-CZ"/>
        </w:rPr>
        <w:tab/>
      </w:r>
      <w:r w:rsidR="00D40AD4" w:rsidRPr="00423ADB">
        <w:rPr>
          <w:rFonts w:ascii="Arial" w:hAnsi="Arial" w:cs="Arial"/>
        </w:rPr>
        <w:t xml:space="preserve">velkoobchodní trh </w:t>
      </w:r>
      <w:r w:rsidR="00CB50E5" w:rsidRPr="00423ADB">
        <w:rPr>
          <w:rFonts w:ascii="Arial" w:hAnsi="Arial" w:cs="Arial"/>
        </w:rPr>
        <w:t xml:space="preserve">přístupu k mobilním </w:t>
      </w:r>
      <w:r w:rsidR="00D40AD4" w:rsidRPr="00423ADB">
        <w:rPr>
          <w:rFonts w:ascii="Arial" w:hAnsi="Arial" w:cs="Arial"/>
        </w:rPr>
        <w:t>služ</w:t>
      </w:r>
      <w:r w:rsidR="00CB50E5" w:rsidRPr="00423ADB">
        <w:rPr>
          <w:rFonts w:ascii="Arial" w:hAnsi="Arial" w:cs="Arial"/>
        </w:rPr>
        <w:t>bá</w:t>
      </w:r>
      <w:r w:rsidR="001B2A9E" w:rsidRPr="00423ADB">
        <w:rPr>
          <w:rFonts w:ascii="Arial" w:hAnsi="Arial" w:cs="Arial"/>
        </w:rPr>
        <w:t>m</w:t>
      </w:r>
      <w:r w:rsidR="00AB7A9D" w:rsidRPr="00423ADB">
        <w:rPr>
          <w:rFonts w:ascii="Arial" w:hAnsi="Arial" w:cs="Arial"/>
          <w:lang w:eastAsia="cs-CZ"/>
        </w:rPr>
        <w:t>.“</w:t>
      </w:r>
      <w:r w:rsidR="000059BC" w:rsidRPr="00423ADB">
        <w:rPr>
          <w:rFonts w:ascii="Arial" w:hAnsi="Arial" w:cs="Arial"/>
          <w:lang w:eastAsia="cs-CZ"/>
        </w:rPr>
        <w:t>.</w:t>
      </w:r>
    </w:p>
    <w:p w14:paraId="12466BE8" w14:textId="77777777" w:rsidR="00130CD5" w:rsidRPr="00423ADB" w:rsidRDefault="00130CD5" w:rsidP="00130CD5">
      <w:pPr>
        <w:tabs>
          <w:tab w:val="left" w:pos="0"/>
          <w:tab w:val="left" w:pos="6237"/>
        </w:tabs>
        <w:spacing w:after="0"/>
        <w:jc w:val="center"/>
        <w:rPr>
          <w:rFonts w:ascii="Arial" w:hAnsi="Arial" w:cs="Arial"/>
          <w:lang w:eastAsia="cs-CZ"/>
        </w:rPr>
      </w:pPr>
    </w:p>
    <w:p w14:paraId="42F21D3C" w14:textId="77777777" w:rsidR="004B525D" w:rsidRPr="00423ADB" w:rsidRDefault="004B525D" w:rsidP="00130CD5">
      <w:pPr>
        <w:tabs>
          <w:tab w:val="left" w:pos="0"/>
          <w:tab w:val="left" w:pos="6237"/>
        </w:tabs>
        <w:spacing w:after="0"/>
        <w:jc w:val="center"/>
        <w:rPr>
          <w:rFonts w:ascii="Arial" w:hAnsi="Arial" w:cs="Arial"/>
          <w:lang w:eastAsia="cs-CZ"/>
        </w:rPr>
      </w:pPr>
    </w:p>
    <w:p w14:paraId="24350B3B" w14:textId="77777777" w:rsidR="004B525D" w:rsidRPr="00423ADB" w:rsidRDefault="004B525D" w:rsidP="00130CD5">
      <w:pPr>
        <w:tabs>
          <w:tab w:val="left" w:pos="0"/>
          <w:tab w:val="left" w:pos="6237"/>
        </w:tabs>
        <w:spacing w:after="0"/>
        <w:jc w:val="center"/>
        <w:rPr>
          <w:rFonts w:ascii="Arial" w:hAnsi="Arial" w:cs="Arial"/>
          <w:lang w:eastAsia="cs-CZ"/>
        </w:rPr>
      </w:pPr>
    </w:p>
    <w:p w14:paraId="740F159A" w14:textId="77777777" w:rsidR="004B525D" w:rsidRPr="00423ADB" w:rsidRDefault="004B525D" w:rsidP="00130CD5">
      <w:pPr>
        <w:tabs>
          <w:tab w:val="left" w:pos="0"/>
          <w:tab w:val="left" w:pos="6237"/>
        </w:tabs>
        <w:spacing w:after="0"/>
        <w:jc w:val="center"/>
        <w:rPr>
          <w:rFonts w:ascii="Arial" w:hAnsi="Arial" w:cs="Arial"/>
          <w:lang w:eastAsia="cs-CZ"/>
        </w:rPr>
      </w:pPr>
    </w:p>
    <w:p w14:paraId="32A66B23" w14:textId="21FCA33D" w:rsidR="00130CD5" w:rsidRPr="00423ADB" w:rsidRDefault="00130CD5" w:rsidP="00130CD5">
      <w:pPr>
        <w:tabs>
          <w:tab w:val="left" w:pos="0"/>
          <w:tab w:val="left" w:pos="6237"/>
        </w:tabs>
        <w:spacing w:after="0"/>
        <w:jc w:val="center"/>
        <w:rPr>
          <w:rFonts w:ascii="Arial" w:hAnsi="Arial" w:cs="Arial"/>
          <w:lang w:eastAsia="cs-CZ"/>
        </w:rPr>
      </w:pPr>
      <w:r w:rsidRPr="00423ADB">
        <w:rPr>
          <w:rFonts w:ascii="Arial" w:hAnsi="Arial" w:cs="Arial"/>
          <w:lang w:eastAsia="cs-CZ"/>
        </w:rPr>
        <w:t>Článek 2</w:t>
      </w:r>
    </w:p>
    <w:p w14:paraId="3568FEF9" w14:textId="77777777" w:rsidR="00130CD5" w:rsidRPr="00423ADB" w:rsidRDefault="00130CD5" w:rsidP="003D2673">
      <w:pPr>
        <w:jc w:val="center"/>
        <w:rPr>
          <w:rFonts w:ascii="Arial" w:hAnsi="Arial" w:cs="Arial"/>
          <w:b/>
        </w:rPr>
      </w:pPr>
      <w:r w:rsidRPr="00423ADB">
        <w:rPr>
          <w:rFonts w:ascii="Arial" w:hAnsi="Arial" w:cs="Arial"/>
          <w:b/>
        </w:rPr>
        <w:t>Účinnost</w:t>
      </w:r>
    </w:p>
    <w:p w14:paraId="180A6775" w14:textId="77777777" w:rsidR="00130CD5" w:rsidRPr="00423ADB" w:rsidRDefault="00130CD5" w:rsidP="00130CD5">
      <w:pPr>
        <w:tabs>
          <w:tab w:val="left" w:pos="708"/>
          <w:tab w:val="left" w:pos="6237"/>
        </w:tabs>
        <w:spacing w:after="0"/>
        <w:ind w:firstLine="709"/>
        <w:jc w:val="both"/>
        <w:rPr>
          <w:rFonts w:ascii="Arial" w:hAnsi="Arial" w:cs="Arial"/>
          <w:lang w:eastAsia="cs-CZ"/>
        </w:rPr>
      </w:pPr>
      <w:r w:rsidRPr="00423ADB">
        <w:rPr>
          <w:rFonts w:ascii="Arial" w:hAnsi="Arial" w:cs="Arial"/>
          <w:lang w:eastAsia="cs-CZ"/>
        </w:rPr>
        <w:t>Toto opatření obecné povahy nabývá účinnosti patnáctým dnem ode dne jeho uveřejnění v Telekomunikačním věstníku.</w:t>
      </w:r>
    </w:p>
    <w:p w14:paraId="622FB48A" w14:textId="77777777" w:rsidR="00130CD5" w:rsidRPr="00423ADB" w:rsidRDefault="00130CD5" w:rsidP="00130CD5">
      <w:pPr>
        <w:tabs>
          <w:tab w:val="left" w:pos="708"/>
          <w:tab w:val="left" w:pos="6237"/>
        </w:tabs>
        <w:spacing w:after="0"/>
        <w:ind w:firstLine="709"/>
        <w:jc w:val="both"/>
        <w:rPr>
          <w:rFonts w:ascii="Arial" w:hAnsi="Arial" w:cs="Arial"/>
          <w:lang w:eastAsia="cs-CZ"/>
        </w:rPr>
      </w:pPr>
    </w:p>
    <w:p w14:paraId="5B2E0572" w14:textId="77777777" w:rsidR="00130CD5" w:rsidRPr="00423ADB" w:rsidRDefault="00130CD5" w:rsidP="00130CD5">
      <w:pPr>
        <w:jc w:val="center"/>
        <w:rPr>
          <w:rFonts w:ascii="Arial" w:hAnsi="Arial" w:cs="Arial"/>
          <w:b/>
        </w:rPr>
      </w:pPr>
      <w:r w:rsidRPr="00423ADB">
        <w:rPr>
          <w:rFonts w:ascii="Arial" w:hAnsi="Arial" w:cs="Arial"/>
          <w:b/>
        </w:rPr>
        <w:t>Odůvodnění</w:t>
      </w:r>
    </w:p>
    <w:p w14:paraId="0F93D529" w14:textId="02F6BCA5" w:rsidR="00130CD5" w:rsidRPr="00423ADB" w:rsidRDefault="00130CD5" w:rsidP="00130CD5">
      <w:pPr>
        <w:ind w:firstLine="708"/>
        <w:jc w:val="both"/>
        <w:rPr>
          <w:rFonts w:ascii="Arial" w:hAnsi="Arial" w:cs="Arial"/>
        </w:rPr>
      </w:pPr>
      <w:r w:rsidRPr="00423ADB">
        <w:rPr>
          <w:rFonts w:ascii="Arial" w:hAnsi="Arial" w:cs="Arial"/>
        </w:rPr>
        <w:t>Správní orgán vydává k provedení § 52 odst. 2 Zákona opatření obecné povahy č. OOP/1/XX.201</w:t>
      </w:r>
      <w:r w:rsidR="00B420E2" w:rsidRPr="00423ADB">
        <w:rPr>
          <w:rFonts w:ascii="Arial" w:hAnsi="Arial" w:cs="Arial"/>
        </w:rPr>
        <w:t>9</w:t>
      </w:r>
      <w:r w:rsidRPr="00423ADB">
        <w:rPr>
          <w:rFonts w:ascii="Arial" w:hAnsi="Arial" w:cs="Arial"/>
        </w:rPr>
        <w:t xml:space="preserve">-Y, kterým vymezuje nový relevantní trh č. </w:t>
      </w:r>
      <w:r w:rsidR="00B420E2" w:rsidRPr="00423ADB">
        <w:rPr>
          <w:rFonts w:ascii="Arial" w:hAnsi="Arial" w:cs="Arial"/>
        </w:rPr>
        <w:t>5</w:t>
      </w:r>
      <w:r w:rsidRPr="00423ADB">
        <w:rPr>
          <w:rFonts w:ascii="Arial" w:hAnsi="Arial" w:cs="Arial"/>
        </w:rPr>
        <w:t xml:space="preserve"> –</w:t>
      </w:r>
      <w:r w:rsidR="001B2A9E" w:rsidRPr="00423ADB">
        <w:rPr>
          <w:rFonts w:ascii="Arial" w:hAnsi="Arial" w:cs="Arial"/>
        </w:rPr>
        <w:t xml:space="preserve"> </w:t>
      </w:r>
      <w:r w:rsidR="003B29DE" w:rsidRPr="00423ADB">
        <w:rPr>
          <w:rFonts w:ascii="Arial" w:hAnsi="Arial" w:cs="Arial"/>
        </w:rPr>
        <w:t>velkoobchodní trh</w:t>
      </w:r>
      <w:r w:rsidR="0080065E" w:rsidRPr="00423ADB">
        <w:rPr>
          <w:rFonts w:ascii="Arial" w:hAnsi="Arial" w:cs="Arial"/>
        </w:rPr>
        <w:t xml:space="preserve"> přístupu k </w:t>
      </w:r>
      <w:r w:rsidR="003B29DE" w:rsidRPr="00423ADB">
        <w:rPr>
          <w:rFonts w:ascii="Arial" w:hAnsi="Arial" w:cs="Arial"/>
        </w:rPr>
        <w:t>mobilní</w:t>
      </w:r>
      <w:r w:rsidR="0080065E" w:rsidRPr="00423ADB">
        <w:rPr>
          <w:rFonts w:ascii="Arial" w:hAnsi="Arial" w:cs="Arial"/>
        </w:rPr>
        <w:t>m</w:t>
      </w:r>
      <w:r w:rsidR="003B29DE" w:rsidRPr="00423ADB">
        <w:rPr>
          <w:rFonts w:ascii="Arial" w:hAnsi="Arial" w:cs="Arial"/>
        </w:rPr>
        <w:t xml:space="preserve"> služb</w:t>
      </w:r>
      <w:r w:rsidR="0080065E" w:rsidRPr="00423ADB">
        <w:rPr>
          <w:rFonts w:ascii="Arial" w:hAnsi="Arial" w:cs="Arial"/>
        </w:rPr>
        <w:t>ám</w:t>
      </w:r>
      <w:r w:rsidR="001B2A9E" w:rsidRPr="00423ADB">
        <w:rPr>
          <w:rFonts w:ascii="Arial" w:hAnsi="Arial" w:cs="Arial"/>
        </w:rPr>
        <w:t xml:space="preserve"> </w:t>
      </w:r>
      <w:r w:rsidRPr="00423ADB">
        <w:rPr>
          <w:rFonts w:ascii="Arial" w:hAnsi="Arial" w:cs="Arial"/>
        </w:rPr>
        <w:t xml:space="preserve">(dále jen „RT </w:t>
      </w:r>
      <w:r w:rsidR="003B29DE" w:rsidRPr="00423ADB">
        <w:rPr>
          <w:rFonts w:ascii="Arial" w:hAnsi="Arial" w:cs="Arial"/>
        </w:rPr>
        <w:t>5</w:t>
      </w:r>
      <w:r w:rsidRPr="00423ADB">
        <w:rPr>
          <w:rFonts w:ascii="Arial" w:hAnsi="Arial" w:cs="Arial"/>
        </w:rPr>
        <w:t>“).</w:t>
      </w:r>
    </w:p>
    <w:p w14:paraId="35654B34" w14:textId="54490865" w:rsidR="00130CD5" w:rsidRPr="00423ADB" w:rsidRDefault="00130CD5" w:rsidP="00130CD5">
      <w:pPr>
        <w:ind w:firstLine="708"/>
        <w:jc w:val="both"/>
        <w:rPr>
          <w:rFonts w:ascii="Arial" w:hAnsi="Arial" w:cs="Arial"/>
        </w:rPr>
      </w:pPr>
      <w:r w:rsidRPr="00423ADB">
        <w:rPr>
          <w:rFonts w:ascii="Arial" w:hAnsi="Arial" w:cs="Arial"/>
        </w:rPr>
        <w:t xml:space="preserve">Na základě </w:t>
      </w:r>
      <w:r w:rsidR="0080065E" w:rsidRPr="00423ADB">
        <w:rPr>
          <w:rFonts w:ascii="Arial" w:hAnsi="Arial" w:cs="Arial"/>
        </w:rPr>
        <w:t>zjištění</w:t>
      </w:r>
      <w:r w:rsidRPr="00423ADB">
        <w:rPr>
          <w:rFonts w:ascii="Arial" w:hAnsi="Arial" w:cs="Arial"/>
        </w:rPr>
        <w:t xml:space="preserve">, že na určitém segmentu trhu dochází nebo může docházet k negativnímu vývoji hospodářské soutěže, je Úřad v souladu s § 52 odst. 2 Zákona oprávněn vymezit další relevantní trhy, na nichž lze uplatnit regulaci </w:t>
      </w:r>
      <w:r w:rsidR="00D85213" w:rsidRPr="00423ADB">
        <w:rPr>
          <w:rFonts w:ascii="Arial" w:hAnsi="Arial" w:cs="Arial"/>
        </w:rPr>
        <w:t>ex-ante</w:t>
      </w:r>
      <w:r w:rsidRPr="00423ADB">
        <w:rPr>
          <w:rFonts w:ascii="Arial" w:hAnsi="Arial" w:cs="Arial"/>
        </w:rPr>
        <w:t>.</w:t>
      </w:r>
    </w:p>
    <w:p w14:paraId="794DD4C1" w14:textId="10D3DE8A" w:rsidR="0043284C" w:rsidRPr="00423ADB" w:rsidRDefault="00123EE6" w:rsidP="00130CD5">
      <w:pPr>
        <w:ind w:firstLine="708"/>
        <w:jc w:val="both"/>
        <w:rPr>
          <w:rFonts w:ascii="Arial" w:hAnsi="Arial" w:cs="Arial"/>
        </w:rPr>
      </w:pPr>
      <w:r w:rsidRPr="00423ADB">
        <w:rPr>
          <w:rFonts w:ascii="Arial" w:hAnsi="Arial" w:cs="Arial"/>
        </w:rPr>
        <w:t xml:space="preserve">K vymezení nového relevantního trhu přistupuje Úřad na základě výsledků hodnocení situace na maloobchodním trhu </w:t>
      </w:r>
      <w:r w:rsidR="003C7BD2" w:rsidRPr="00423ADB">
        <w:rPr>
          <w:rFonts w:ascii="Arial" w:hAnsi="Arial" w:cs="Arial"/>
        </w:rPr>
        <w:t>mobilních služeb</w:t>
      </w:r>
      <w:r w:rsidRPr="00423ADB">
        <w:rPr>
          <w:rFonts w:ascii="Arial" w:hAnsi="Arial" w:cs="Arial"/>
        </w:rPr>
        <w:t xml:space="preserve"> a za účelem podpory rozvoje konkurence a prospěchu koncových uživatelů služeb na tomto trhu v souladu s požadavky evropského regulačního rámce a Zákona.</w:t>
      </w:r>
      <w:r w:rsidR="003C7BD2" w:rsidRPr="00423ADB">
        <w:rPr>
          <w:rFonts w:ascii="Arial" w:hAnsi="Arial" w:cs="Arial"/>
        </w:rPr>
        <w:t xml:space="preserve"> Na základě vymezení maloobchodního trhu Úřad vymezil související velkoobchodní trh – velkoobchodní trh přístupu k mobilním službám. Aby mohl být takový trh označen jako trh relevantní, musí </w:t>
      </w:r>
      <w:r w:rsidR="0011000D" w:rsidRPr="00423ADB">
        <w:rPr>
          <w:rFonts w:ascii="Arial" w:hAnsi="Arial" w:cs="Arial"/>
        </w:rPr>
        <w:t xml:space="preserve">podle evropského regulačního rámce, konkrétně Doporučení Komise Evropských společenství 2014/710/EU o relevantních trzích produktů a služeb v odvětví elektronických komunikací, které připadají v úvahu pro regulaci </w:t>
      </w:r>
      <w:r w:rsidR="00D85213" w:rsidRPr="00423ADB">
        <w:rPr>
          <w:rFonts w:ascii="Arial" w:hAnsi="Arial" w:cs="Arial"/>
        </w:rPr>
        <w:t>ex-ante</w:t>
      </w:r>
      <w:r w:rsidR="0011000D" w:rsidRPr="00423ADB">
        <w:rPr>
          <w:rFonts w:ascii="Arial" w:hAnsi="Arial" w:cs="Arial"/>
        </w:rPr>
        <w:t xml:space="preserve"> podle směrnice Evropského parlamentu a Rady 2002/21/ES o společném předpisovém rámci pro sítě a služby elektronických komunikací (dále jen „Doporučení“), splnit</w:t>
      </w:r>
      <w:r w:rsidR="003C7BD2" w:rsidRPr="00423ADB">
        <w:rPr>
          <w:rFonts w:ascii="Arial" w:hAnsi="Arial" w:cs="Arial"/>
        </w:rPr>
        <w:t xml:space="preserve"> test tří kritérií</w:t>
      </w:r>
      <w:r w:rsidR="00F65941" w:rsidRPr="00423ADB">
        <w:rPr>
          <w:rFonts w:ascii="Arial" w:hAnsi="Arial" w:cs="Arial"/>
        </w:rPr>
        <w:t xml:space="preserve"> (dále jen „T3K“)</w:t>
      </w:r>
      <w:r w:rsidR="003C7BD2" w:rsidRPr="00423ADB">
        <w:rPr>
          <w:rFonts w:ascii="Arial" w:hAnsi="Arial" w:cs="Arial"/>
        </w:rPr>
        <w:t>.</w:t>
      </w:r>
      <w:r w:rsidR="00400F22" w:rsidRPr="00423ADB">
        <w:rPr>
          <w:rFonts w:ascii="Arial" w:hAnsi="Arial" w:cs="Arial"/>
        </w:rPr>
        <w:t xml:space="preserve"> </w:t>
      </w:r>
    </w:p>
    <w:p w14:paraId="6E165368" w14:textId="43968AC7" w:rsidR="00D3349C" w:rsidRPr="00423ADB" w:rsidRDefault="00D3349C" w:rsidP="00130CD5">
      <w:pPr>
        <w:ind w:firstLine="708"/>
        <w:jc w:val="both"/>
        <w:rPr>
          <w:rFonts w:ascii="Arial" w:hAnsi="Arial" w:cs="Arial"/>
        </w:rPr>
      </w:pPr>
      <w:r w:rsidRPr="00423ADB">
        <w:rPr>
          <w:rFonts w:ascii="Arial" w:hAnsi="Arial" w:cs="Arial"/>
        </w:rPr>
        <w:t xml:space="preserve">Pomocí T3K Úřad v souladu s </w:t>
      </w:r>
      <w:hyperlink r:id="rId8" w:history="1">
        <w:r w:rsidRPr="00423ADB">
          <w:rPr>
            <w:rStyle w:val="Hypertextovodkaz"/>
            <w:rFonts w:ascii="Arial" w:hAnsi="Arial" w:cs="Arial"/>
            <w:color w:val="auto"/>
          </w:rPr>
          <w:t>metodikou</w:t>
        </w:r>
      </w:hyperlink>
      <w:r w:rsidRPr="00423ADB">
        <w:rPr>
          <w:rStyle w:val="Znakapoznpodarou"/>
          <w:rFonts w:ascii="Arial" w:hAnsi="Arial" w:cs="Arial"/>
        </w:rPr>
        <w:footnoteReference w:id="1"/>
      </w:r>
      <w:r w:rsidRPr="00423ADB">
        <w:rPr>
          <w:rFonts w:ascii="Arial" w:hAnsi="Arial" w:cs="Arial"/>
        </w:rPr>
        <w:t xml:space="preserve"> vyhodnocuje, zda je posuzovaný (vymezený) trh</w:t>
      </w:r>
      <w:r w:rsidR="00EC1995" w:rsidRPr="00423ADB">
        <w:rPr>
          <w:rFonts w:ascii="Arial" w:hAnsi="Arial" w:cs="Arial"/>
        </w:rPr>
        <w:t xml:space="preserve"> náchylný k tomu nebýt efektivně konkurenční a zda</w:t>
      </w:r>
      <w:r w:rsidRPr="00423ADB">
        <w:rPr>
          <w:rFonts w:ascii="Arial" w:hAnsi="Arial" w:cs="Arial"/>
        </w:rPr>
        <w:t xml:space="preserve"> je vhodný pro ex-ante regulaci.</w:t>
      </w:r>
    </w:p>
    <w:p w14:paraId="5CE6916A" w14:textId="4F111355" w:rsidR="00B5332B" w:rsidRPr="00423ADB" w:rsidRDefault="00D3349C" w:rsidP="00B5332B">
      <w:pPr>
        <w:ind w:firstLine="708"/>
        <w:jc w:val="both"/>
        <w:rPr>
          <w:rFonts w:ascii="Arial" w:hAnsi="Arial" w:cs="Arial"/>
        </w:rPr>
      </w:pPr>
      <w:r w:rsidRPr="00423ADB">
        <w:rPr>
          <w:rFonts w:ascii="Arial" w:hAnsi="Arial" w:cs="Arial"/>
        </w:rPr>
        <w:t xml:space="preserve">Úřad proto provedl </w:t>
      </w:r>
      <w:hyperlink r:id="rId9" w:history="1">
        <w:r w:rsidRPr="00423ADB">
          <w:rPr>
            <w:rStyle w:val="Hypertextovodkaz"/>
            <w:rFonts w:ascii="Arial" w:hAnsi="Arial" w:cs="Arial"/>
            <w:color w:val="auto"/>
          </w:rPr>
          <w:t>T3K</w:t>
        </w:r>
        <w:r w:rsidR="00B06C15" w:rsidRPr="00423ADB">
          <w:rPr>
            <w:rStyle w:val="Hypertextovodkaz"/>
            <w:rFonts w:ascii="Arial" w:hAnsi="Arial" w:cs="Arial"/>
            <w:color w:val="auto"/>
          </w:rPr>
          <w:t xml:space="preserve"> pro Trh mobilních služeb</w:t>
        </w:r>
      </w:hyperlink>
      <w:r w:rsidR="00B06C15" w:rsidRPr="00423ADB">
        <w:rPr>
          <w:rFonts w:ascii="Arial" w:hAnsi="Arial" w:cs="Arial"/>
        </w:rPr>
        <w:t xml:space="preserve"> (dále jen „</w:t>
      </w:r>
      <w:bookmarkStart w:id="5" w:name="_Hlk18565186"/>
      <w:r w:rsidR="00B06C15" w:rsidRPr="00423ADB">
        <w:rPr>
          <w:rFonts w:ascii="Arial" w:hAnsi="Arial" w:cs="Arial"/>
        </w:rPr>
        <w:t>T3K mobilního trhu</w:t>
      </w:r>
      <w:bookmarkEnd w:id="5"/>
      <w:r w:rsidR="00B06C15" w:rsidRPr="00423ADB">
        <w:rPr>
          <w:rFonts w:ascii="Arial" w:hAnsi="Arial" w:cs="Arial"/>
        </w:rPr>
        <w:t>“)</w:t>
      </w:r>
      <w:r w:rsidRPr="00423ADB">
        <w:rPr>
          <w:rFonts w:ascii="Arial" w:hAnsi="Arial" w:cs="Arial"/>
        </w:rPr>
        <w:t xml:space="preserve">, který v souladu s § 52 odst. 2 Zákona veřejně konzultoval s dotčenými subjekty a s Úřadem na ochranu hospodářské soutěže podle § 130 Zákona. Úřad </w:t>
      </w:r>
      <w:r w:rsidR="008344FB" w:rsidRPr="00423ADB">
        <w:rPr>
          <w:rFonts w:ascii="Arial" w:hAnsi="Arial" w:cs="Arial"/>
        </w:rPr>
        <w:t>T3K mobilního trhu</w:t>
      </w:r>
      <w:r w:rsidRPr="00423ADB">
        <w:rPr>
          <w:rFonts w:ascii="Arial" w:hAnsi="Arial" w:cs="Arial"/>
        </w:rPr>
        <w:t xml:space="preserve"> konzultoval rovněž podle § 131 Zákona s Evropskou komisí (dále jen „EK“)</w:t>
      </w:r>
      <w:r w:rsidR="00167C25" w:rsidRPr="00423ADB">
        <w:rPr>
          <w:rFonts w:ascii="Arial" w:hAnsi="Arial" w:cs="Arial"/>
        </w:rPr>
        <w:t xml:space="preserve">. </w:t>
      </w:r>
      <w:r w:rsidR="00C732A3" w:rsidRPr="00423ADB">
        <w:rPr>
          <w:rFonts w:ascii="Arial" w:hAnsi="Arial" w:cs="Arial"/>
        </w:rPr>
        <w:t xml:space="preserve">Dne </w:t>
      </w:r>
      <w:r w:rsidRPr="00423ADB">
        <w:rPr>
          <w:rFonts w:ascii="Arial" w:hAnsi="Arial" w:cs="Arial"/>
        </w:rPr>
        <w:t xml:space="preserve">21. června 2019 </w:t>
      </w:r>
      <w:r w:rsidR="00C732A3" w:rsidRPr="00423ADB">
        <w:rPr>
          <w:rFonts w:ascii="Arial" w:hAnsi="Arial" w:cs="Arial"/>
        </w:rPr>
        <w:t xml:space="preserve">Úřad </w:t>
      </w:r>
      <w:r w:rsidRPr="00423ADB">
        <w:rPr>
          <w:rFonts w:ascii="Arial" w:hAnsi="Arial" w:cs="Arial"/>
        </w:rPr>
        <w:t>zaslal</w:t>
      </w:r>
      <w:r w:rsidR="00C732A3" w:rsidRPr="00423ADB">
        <w:rPr>
          <w:rFonts w:ascii="Arial" w:hAnsi="Arial" w:cs="Arial"/>
        </w:rPr>
        <w:t xml:space="preserve"> EK</w:t>
      </w:r>
      <w:r w:rsidRPr="00423ADB">
        <w:rPr>
          <w:rFonts w:ascii="Arial" w:hAnsi="Arial" w:cs="Arial"/>
        </w:rPr>
        <w:t xml:space="preserve"> oznámení</w:t>
      </w:r>
      <w:r w:rsidRPr="00423ADB">
        <w:rPr>
          <w:rStyle w:val="Znakapoznpodarou"/>
          <w:rFonts w:ascii="Arial" w:hAnsi="Arial" w:cs="Arial"/>
        </w:rPr>
        <w:footnoteReference w:id="2"/>
      </w:r>
      <w:r w:rsidRPr="00423ADB">
        <w:rPr>
          <w:rFonts w:ascii="Arial" w:hAnsi="Arial" w:cs="Arial"/>
        </w:rPr>
        <w:t xml:space="preserve">, obsahující </w:t>
      </w:r>
      <w:r w:rsidR="008344FB" w:rsidRPr="00423ADB">
        <w:rPr>
          <w:rFonts w:ascii="Arial" w:hAnsi="Arial" w:cs="Arial"/>
        </w:rPr>
        <w:t>T3K mobilního trhu</w:t>
      </w:r>
      <w:r w:rsidRPr="00423ADB">
        <w:rPr>
          <w:rFonts w:ascii="Arial" w:hAnsi="Arial" w:cs="Arial"/>
        </w:rPr>
        <w:t xml:space="preserve"> a veškeré související dokumenty, o svém záměru ustanovit v České republice nový relevantní trh – velkoobchodní trh přístupu k mobilním službám. </w:t>
      </w:r>
      <w:r w:rsidR="00B5332B" w:rsidRPr="00423ADB">
        <w:rPr>
          <w:rFonts w:ascii="Arial" w:hAnsi="Arial" w:cs="Arial"/>
        </w:rPr>
        <w:t>Rozhodnutí EK</w:t>
      </w:r>
      <w:r w:rsidR="00B5332B" w:rsidRPr="00423ADB">
        <w:rPr>
          <w:rStyle w:val="Znakapoznpodarou"/>
          <w:rFonts w:ascii="Arial" w:hAnsi="Arial" w:cs="Arial"/>
        </w:rPr>
        <w:footnoteReference w:id="3"/>
      </w:r>
      <w:r w:rsidR="00B5332B" w:rsidRPr="00423ADB">
        <w:rPr>
          <w:rFonts w:ascii="Arial" w:hAnsi="Arial" w:cs="Arial"/>
        </w:rPr>
        <w:t xml:space="preserve"> obdržel Úřad </w:t>
      </w:r>
      <w:r w:rsidRPr="00423ADB">
        <w:rPr>
          <w:rFonts w:ascii="Arial" w:hAnsi="Arial" w:cs="Arial"/>
        </w:rPr>
        <w:t>dne 22. července 2019</w:t>
      </w:r>
      <w:r w:rsidR="00B5332B" w:rsidRPr="00423ADB">
        <w:rPr>
          <w:rFonts w:ascii="Arial" w:hAnsi="Arial" w:cs="Arial"/>
        </w:rPr>
        <w:t>. V rámci rozhodnutí</w:t>
      </w:r>
      <w:r w:rsidRPr="00423ADB">
        <w:rPr>
          <w:rFonts w:ascii="Arial" w:hAnsi="Arial" w:cs="Arial"/>
        </w:rPr>
        <w:t xml:space="preserve"> EK vznesla připomínky podle čl. 7 odst. 3 směrnice 2002/21/ES</w:t>
      </w:r>
      <w:r w:rsidR="00B5332B" w:rsidRPr="00423ADB">
        <w:rPr>
          <w:rFonts w:ascii="Arial" w:hAnsi="Arial" w:cs="Arial"/>
        </w:rPr>
        <w:t xml:space="preserve"> (Rámcová směrnice)</w:t>
      </w:r>
      <w:r w:rsidRPr="00423ADB">
        <w:rPr>
          <w:rFonts w:ascii="Arial" w:hAnsi="Arial" w:cs="Arial"/>
        </w:rPr>
        <w:t xml:space="preserve">. </w:t>
      </w:r>
      <w:r w:rsidR="00B5332B" w:rsidRPr="00423ADB">
        <w:rPr>
          <w:rFonts w:ascii="Arial" w:hAnsi="Arial" w:cs="Arial"/>
        </w:rPr>
        <w:t xml:space="preserve">Dle připomínek EK návrh </w:t>
      </w:r>
      <w:r w:rsidR="008344FB" w:rsidRPr="00423ADB">
        <w:rPr>
          <w:rFonts w:ascii="Arial" w:hAnsi="Arial" w:cs="Arial"/>
        </w:rPr>
        <w:t>T3K mobilního trhu</w:t>
      </w:r>
      <w:r w:rsidR="00B5332B" w:rsidRPr="00423ADB">
        <w:rPr>
          <w:rFonts w:ascii="Arial" w:hAnsi="Arial" w:cs="Arial"/>
        </w:rPr>
        <w:t xml:space="preserve"> nespadá do oblasti působnosti čl. 7 odst. 4 Rámcové směrnice podle stávajícího regulačního rámce, a Komise tudíž není v tomto ohledu zmocněna vznést vážné pochybnosti a požadovat po Úřadu, aby vzal návrh </w:t>
      </w:r>
      <w:r w:rsidR="008344FB" w:rsidRPr="00423ADB">
        <w:rPr>
          <w:rFonts w:ascii="Arial" w:hAnsi="Arial" w:cs="Arial"/>
        </w:rPr>
        <w:t>T3K mobilního trhu</w:t>
      </w:r>
      <w:r w:rsidR="00B5332B" w:rsidRPr="00423ADB">
        <w:rPr>
          <w:rFonts w:ascii="Arial" w:hAnsi="Arial" w:cs="Arial"/>
        </w:rPr>
        <w:t xml:space="preserve"> zpět.</w:t>
      </w:r>
      <w:r w:rsidR="00993586" w:rsidRPr="00423ADB">
        <w:rPr>
          <w:rFonts w:ascii="Arial" w:hAnsi="Arial" w:cs="Arial"/>
        </w:rPr>
        <w:t xml:space="preserve"> </w:t>
      </w:r>
    </w:p>
    <w:p w14:paraId="146578EF" w14:textId="77777777" w:rsidR="00B5332B" w:rsidRPr="00423ADB" w:rsidRDefault="00B5332B" w:rsidP="00B5332B">
      <w:pPr>
        <w:ind w:firstLine="708"/>
        <w:jc w:val="both"/>
        <w:rPr>
          <w:rFonts w:ascii="Arial" w:hAnsi="Arial" w:cs="Arial"/>
        </w:rPr>
      </w:pPr>
    </w:p>
    <w:p w14:paraId="403192B9" w14:textId="3019DDAF" w:rsidR="00D3349C" w:rsidRPr="00423ADB" w:rsidRDefault="00B5332B" w:rsidP="00130CD5">
      <w:pPr>
        <w:ind w:firstLine="708"/>
        <w:jc w:val="both"/>
        <w:rPr>
          <w:rFonts w:ascii="Arial" w:hAnsi="Arial" w:cs="Arial"/>
        </w:rPr>
      </w:pPr>
      <w:r w:rsidRPr="00423ADB">
        <w:rPr>
          <w:rFonts w:ascii="Arial" w:hAnsi="Arial" w:cs="Arial"/>
        </w:rPr>
        <w:lastRenderedPageBreak/>
        <w:t xml:space="preserve">Připomínky EK dle čl. 7 odst. 3 Rámcové směrnice nebrání dalšímu postupu Úřadu a nepředstavují překážku, která by Úřadu bránila </w:t>
      </w:r>
      <w:r w:rsidR="00C732A3" w:rsidRPr="00423ADB">
        <w:rPr>
          <w:rFonts w:ascii="Arial" w:hAnsi="Arial" w:cs="Arial"/>
        </w:rPr>
        <w:t>vymezit nový relevan</w:t>
      </w:r>
      <w:r w:rsidR="00735869" w:rsidRPr="00423ADB">
        <w:rPr>
          <w:rFonts w:ascii="Arial" w:hAnsi="Arial" w:cs="Arial"/>
        </w:rPr>
        <w:t>tn</w:t>
      </w:r>
      <w:r w:rsidR="00C732A3" w:rsidRPr="00423ADB">
        <w:rPr>
          <w:rFonts w:ascii="Arial" w:hAnsi="Arial" w:cs="Arial"/>
        </w:rPr>
        <w:t xml:space="preserve">í trh </w:t>
      </w:r>
      <w:r w:rsidR="0064763B" w:rsidRPr="00423ADB">
        <w:rPr>
          <w:rFonts w:ascii="Arial" w:hAnsi="Arial" w:cs="Arial"/>
        </w:rPr>
        <w:t xml:space="preserve">č. </w:t>
      </w:r>
      <w:r w:rsidR="00C732A3" w:rsidRPr="00423ADB">
        <w:rPr>
          <w:rFonts w:ascii="Arial" w:hAnsi="Arial" w:cs="Arial"/>
        </w:rPr>
        <w:t xml:space="preserve">5. </w:t>
      </w:r>
      <w:r w:rsidR="00735869" w:rsidRPr="00423ADB">
        <w:rPr>
          <w:rFonts w:ascii="Arial" w:hAnsi="Arial" w:cs="Arial"/>
        </w:rPr>
        <w:t xml:space="preserve">Úřad proto přistoupil </w:t>
      </w:r>
      <w:r w:rsidR="00B637CA" w:rsidRPr="00423ADB">
        <w:rPr>
          <w:rFonts w:ascii="Arial" w:hAnsi="Arial" w:cs="Arial"/>
        </w:rPr>
        <w:t xml:space="preserve">ke </w:t>
      </w:r>
      <w:r w:rsidR="00735869" w:rsidRPr="00423ADB">
        <w:rPr>
          <w:rFonts w:ascii="Arial" w:hAnsi="Arial" w:cs="Arial"/>
        </w:rPr>
        <w:t xml:space="preserve">zpracování </w:t>
      </w:r>
      <w:r w:rsidRPr="00423ADB">
        <w:rPr>
          <w:rFonts w:ascii="Arial" w:hAnsi="Arial" w:cs="Arial"/>
        </w:rPr>
        <w:t>tohoto OOP</w:t>
      </w:r>
      <w:r w:rsidR="00735869" w:rsidRPr="00423ADB">
        <w:rPr>
          <w:rFonts w:ascii="Arial" w:hAnsi="Arial" w:cs="Arial"/>
        </w:rPr>
        <w:t>.</w:t>
      </w:r>
      <w:r w:rsidRPr="00423ADB">
        <w:rPr>
          <w:rFonts w:ascii="Arial" w:hAnsi="Arial" w:cs="Arial"/>
        </w:rPr>
        <w:t xml:space="preserve"> </w:t>
      </w:r>
    </w:p>
    <w:p w14:paraId="10DBB21C" w14:textId="5785B13E" w:rsidR="0043284C" w:rsidRPr="00423ADB" w:rsidRDefault="0043284C" w:rsidP="0090638A">
      <w:pPr>
        <w:ind w:firstLine="708"/>
        <w:jc w:val="center"/>
        <w:rPr>
          <w:rFonts w:ascii="Arial" w:hAnsi="Arial" w:cs="Arial"/>
        </w:rPr>
      </w:pPr>
      <w:r w:rsidRPr="00423ADB">
        <w:rPr>
          <w:rFonts w:ascii="Arial" w:hAnsi="Arial" w:cs="Arial"/>
        </w:rPr>
        <w:t>****</w:t>
      </w:r>
    </w:p>
    <w:p w14:paraId="561EFBD4" w14:textId="6B5A4209" w:rsidR="00846D02" w:rsidRPr="00423ADB" w:rsidRDefault="00846D02" w:rsidP="00130CD5">
      <w:pPr>
        <w:ind w:firstLine="708"/>
        <w:jc w:val="both"/>
        <w:rPr>
          <w:rFonts w:ascii="Arial" w:hAnsi="Arial" w:cs="Arial"/>
        </w:rPr>
      </w:pPr>
      <w:r w:rsidRPr="00423ADB">
        <w:rPr>
          <w:rFonts w:ascii="Arial" w:hAnsi="Arial" w:cs="Arial"/>
        </w:rPr>
        <w:t xml:space="preserve">V roce 2017 Úřad </w:t>
      </w:r>
      <w:r w:rsidR="002E1C73" w:rsidRPr="00423ADB">
        <w:rPr>
          <w:rFonts w:ascii="Arial" w:hAnsi="Arial" w:cs="Arial"/>
        </w:rPr>
        <w:t>provedl T3K mobilního trhu</w:t>
      </w:r>
      <w:r w:rsidRPr="00423ADB">
        <w:rPr>
          <w:rFonts w:ascii="Arial" w:hAnsi="Arial" w:cs="Arial"/>
        </w:rPr>
        <w:t xml:space="preserve">, pro účely kterého vymezil maloobchodní a velkoobchodní trh na celém území České republiky: </w:t>
      </w:r>
    </w:p>
    <w:p w14:paraId="33B522D9" w14:textId="1A1BB698" w:rsidR="00846D02" w:rsidRPr="00423ADB" w:rsidRDefault="00846D02" w:rsidP="00846D02">
      <w:pPr>
        <w:pStyle w:val="Odstavecseseznamem"/>
        <w:numPr>
          <w:ilvl w:val="0"/>
          <w:numId w:val="41"/>
        </w:numPr>
        <w:jc w:val="both"/>
        <w:rPr>
          <w:rFonts w:ascii="Arial" w:hAnsi="Arial" w:cs="Arial"/>
        </w:rPr>
      </w:pPr>
      <w:r w:rsidRPr="00423ADB">
        <w:rPr>
          <w:rFonts w:ascii="Arial" w:hAnsi="Arial" w:cs="Arial"/>
          <w:b/>
        </w:rPr>
        <w:t>maloobchodní trh</w:t>
      </w:r>
      <w:r w:rsidRPr="00423ADB">
        <w:rPr>
          <w:rFonts w:ascii="Arial" w:hAnsi="Arial" w:cs="Arial"/>
        </w:rPr>
        <w:t xml:space="preserve"> – Úřad do věcného vymezení trhu</w:t>
      </w:r>
      <w:r w:rsidR="007C2072" w:rsidRPr="00423ADB">
        <w:rPr>
          <w:rFonts w:ascii="Arial" w:hAnsi="Arial" w:cs="Arial"/>
        </w:rPr>
        <w:t>, v rámci T3K mobilního trhu,</w:t>
      </w:r>
      <w:r w:rsidRPr="00423ADB">
        <w:rPr>
          <w:rFonts w:ascii="Arial" w:hAnsi="Arial" w:cs="Arial"/>
        </w:rPr>
        <w:t xml:space="preserve"> zahrnul mobilní služby – tedy mobilní hlasové volání, služby SMS a mobilní datové služby, přičemž Úřad rozdělil trh mobilních služeb na dva segmenty, které nejsou vzájemně zastupitelné: segment A – Mobilní tarify s daty a segment B – Mobilní internet. Dalším posouzením situace na současném trhu, konkrétně cenového hodnocení, Úřad dospěl k závěru, že segment A je členěn na dvě skupiny podle typu zákazníků, a to A1 – rezidentní zákazníci (též označován jako „domácnosti“) a A2 – podnikající osoby, resp. firemní zákazníci. Na základě obdobného hodnocení segmentu B dospěl Úřad k stejnému členění na dvě skupiny zákazníků podobně jako u segmentu A, a to B1 – rezidentní zákazníci a B2 – podnikající osoby, resp. firemní zákazníci.</w:t>
      </w:r>
    </w:p>
    <w:p w14:paraId="4706AABC" w14:textId="18F0B531" w:rsidR="00846D02" w:rsidRPr="00423ADB" w:rsidRDefault="00846D02" w:rsidP="00846D02">
      <w:pPr>
        <w:pStyle w:val="Odstavecseseznamem"/>
        <w:numPr>
          <w:ilvl w:val="0"/>
          <w:numId w:val="41"/>
        </w:numPr>
        <w:jc w:val="both"/>
        <w:rPr>
          <w:rFonts w:ascii="Arial" w:hAnsi="Arial" w:cs="Arial"/>
        </w:rPr>
      </w:pPr>
      <w:r w:rsidRPr="00423ADB">
        <w:rPr>
          <w:rFonts w:ascii="Arial" w:hAnsi="Arial" w:cs="Arial"/>
          <w:b/>
        </w:rPr>
        <w:t>velkoobchodní trh</w:t>
      </w:r>
      <w:r w:rsidRPr="00423ADB">
        <w:rPr>
          <w:rFonts w:ascii="Arial" w:hAnsi="Arial" w:cs="Arial"/>
        </w:rPr>
        <w:t xml:space="preserve"> – Úřad do věcného vymezení velkoobchodního trhu mobilních služeb</w:t>
      </w:r>
      <w:r w:rsidR="007C2072" w:rsidRPr="00423ADB">
        <w:rPr>
          <w:rFonts w:ascii="Arial" w:hAnsi="Arial" w:cs="Arial"/>
        </w:rPr>
        <w:t>, v rámci T3K mobilního trhu,</w:t>
      </w:r>
      <w:r w:rsidRPr="00423ADB">
        <w:rPr>
          <w:rFonts w:ascii="Arial" w:hAnsi="Arial" w:cs="Arial"/>
        </w:rPr>
        <w:t xml:space="preserve"> zahrnul mobilní hlasové volání, služby SMS a mobilní datové služby. Úřad do vymezení velkoobchodního trhu zahrnul pouze nabídky služeb, které jsou předmětem vymezení maloobchodního trhu mobilních služeb, tedy nabídky na segmentu A – Mobilní tarify s daty a na segmentu B</w:t>
      </w:r>
      <w:r w:rsidR="007209D4" w:rsidRPr="00423ADB">
        <w:rPr>
          <w:rFonts w:ascii="Arial" w:hAnsi="Arial" w:cs="Arial"/>
        </w:rPr>
        <w:t> </w:t>
      </w:r>
      <w:r w:rsidRPr="00423ADB">
        <w:rPr>
          <w:rFonts w:ascii="Arial" w:hAnsi="Arial" w:cs="Arial"/>
        </w:rPr>
        <w:t>–</w:t>
      </w:r>
      <w:r w:rsidR="007209D4" w:rsidRPr="00423ADB">
        <w:rPr>
          <w:rFonts w:ascii="Arial" w:hAnsi="Arial" w:cs="Arial"/>
        </w:rPr>
        <w:t> </w:t>
      </w:r>
      <w:r w:rsidRPr="00423ADB">
        <w:rPr>
          <w:rFonts w:ascii="Arial" w:hAnsi="Arial" w:cs="Arial"/>
        </w:rPr>
        <w:t>Mobilní internet, a které jsou poskytovány na základě uzavřených velkoobchodních smluv (s MNO či MVNE) či samotnými MNO formou samozásobení. Velkoobchodní trh je definován jako jeden velkoobchodní trh přístupu ke všem mobilním službám, které bývají nabízeny pod jednou velkoobchodní smlouvou. Velkoobchodní trh by měl umožnit MVNE/MVNO nakoupit mobilní služby a následně MVNO umožnit je prodávat na navazujícím maloobchodním trhu. Tento trh zahrnuje jak služby pro plnohodnotné (Full) MVNE/MVNO, tak pro ostatní úrovně MVNE/MVNO.</w:t>
      </w:r>
    </w:p>
    <w:p w14:paraId="7A0F3019" w14:textId="4B05E1C1" w:rsidR="00846D02" w:rsidRPr="00423ADB" w:rsidRDefault="00846D02" w:rsidP="00846D02">
      <w:pPr>
        <w:ind w:firstLine="708"/>
        <w:jc w:val="both"/>
        <w:rPr>
          <w:rFonts w:ascii="Arial" w:hAnsi="Arial" w:cs="Arial"/>
        </w:rPr>
      </w:pPr>
      <w:r w:rsidRPr="00423ADB">
        <w:rPr>
          <w:rFonts w:ascii="Arial" w:hAnsi="Arial" w:cs="Arial"/>
        </w:rPr>
        <w:t>Toto věcné vymezení velkoobchodního a maloobchodního trhu bylo základem pro</w:t>
      </w:r>
      <w:r w:rsidR="00E7365F" w:rsidRPr="00423ADB">
        <w:rPr>
          <w:rFonts w:ascii="Arial" w:hAnsi="Arial" w:cs="Arial"/>
        </w:rPr>
        <w:t xml:space="preserve"> provedení</w:t>
      </w:r>
      <w:r w:rsidRPr="00423ADB">
        <w:rPr>
          <w:rFonts w:ascii="Arial" w:hAnsi="Arial" w:cs="Arial"/>
        </w:rPr>
        <w:t xml:space="preserve"> </w:t>
      </w:r>
      <w:r w:rsidR="008344FB" w:rsidRPr="00423ADB">
        <w:rPr>
          <w:rFonts w:ascii="Arial" w:hAnsi="Arial" w:cs="Arial"/>
        </w:rPr>
        <w:t>T3K mobilního trhu</w:t>
      </w:r>
      <w:r w:rsidRPr="00423ADB">
        <w:rPr>
          <w:rFonts w:ascii="Arial" w:hAnsi="Arial" w:cs="Arial"/>
        </w:rPr>
        <w:t xml:space="preserve">. </w:t>
      </w:r>
    </w:p>
    <w:p w14:paraId="06E3AC28" w14:textId="64408B54" w:rsidR="00400F22" w:rsidRPr="00423ADB" w:rsidRDefault="00846D02" w:rsidP="00130CD5">
      <w:pPr>
        <w:ind w:firstLine="708"/>
        <w:jc w:val="both"/>
        <w:rPr>
          <w:rFonts w:ascii="Arial" w:hAnsi="Arial" w:cs="Arial"/>
        </w:rPr>
      </w:pPr>
      <w:r w:rsidRPr="00423ADB">
        <w:rPr>
          <w:rFonts w:ascii="Arial" w:hAnsi="Arial" w:cs="Arial"/>
        </w:rPr>
        <w:t xml:space="preserve">V rámci </w:t>
      </w:r>
      <w:r w:rsidR="008344FB" w:rsidRPr="00423ADB">
        <w:rPr>
          <w:rFonts w:ascii="Arial" w:hAnsi="Arial" w:cs="Arial"/>
        </w:rPr>
        <w:t xml:space="preserve">T3K </w:t>
      </w:r>
      <w:r w:rsidR="00F57ABB" w:rsidRPr="00423ADB">
        <w:rPr>
          <w:rFonts w:ascii="Arial" w:hAnsi="Arial" w:cs="Arial"/>
        </w:rPr>
        <w:t>(</w:t>
      </w:r>
      <w:r w:rsidR="008344FB" w:rsidRPr="00423ADB">
        <w:rPr>
          <w:rFonts w:ascii="Arial" w:hAnsi="Arial" w:cs="Arial"/>
        </w:rPr>
        <w:t>mobilního trhu</w:t>
      </w:r>
      <w:r w:rsidR="00F57ABB" w:rsidRPr="00423ADB">
        <w:rPr>
          <w:rFonts w:ascii="Arial" w:hAnsi="Arial" w:cs="Arial"/>
        </w:rPr>
        <w:t>)</w:t>
      </w:r>
      <w:r w:rsidR="00400F22" w:rsidRPr="00423ADB">
        <w:rPr>
          <w:rFonts w:ascii="Arial" w:hAnsi="Arial" w:cs="Arial"/>
        </w:rPr>
        <w:t xml:space="preserve"> Úřad v souladu s metodikou</w:t>
      </w:r>
      <w:r w:rsidR="00400F22" w:rsidRPr="00423ADB">
        <w:rPr>
          <w:rStyle w:val="Znakapoznpodarou"/>
          <w:rFonts w:ascii="Arial" w:hAnsi="Arial" w:cs="Arial"/>
        </w:rPr>
        <w:footnoteReference w:id="4"/>
      </w:r>
      <w:r w:rsidR="00400F22" w:rsidRPr="00423ADB">
        <w:rPr>
          <w:rFonts w:ascii="Arial" w:hAnsi="Arial" w:cs="Arial"/>
        </w:rPr>
        <w:t xml:space="preserve"> vyhodno</w:t>
      </w:r>
      <w:r w:rsidR="00FD3F93" w:rsidRPr="00423ADB">
        <w:rPr>
          <w:rFonts w:ascii="Arial" w:hAnsi="Arial" w:cs="Arial"/>
        </w:rPr>
        <w:t>til</w:t>
      </w:r>
      <w:r w:rsidRPr="00423ADB">
        <w:rPr>
          <w:rFonts w:ascii="Arial" w:hAnsi="Arial" w:cs="Arial"/>
        </w:rPr>
        <w:t xml:space="preserve"> </w:t>
      </w:r>
      <w:r w:rsidR="00400F22" w:rsidRPr="00423ADB">
        <w:rPr>
          <w:rFonts w:ascii="Arial" w:hAnsi="Arial" w:cs="Arial"/>
        </w:rPr>
        <w:t>následující tři kritéria:</w:t>
      </w:r>
    </w:p>
    <w:p w14:paraId="50896039" w14:textId="674AB4D5" w:rsidR="00400F22" w:rsidRPr="00423ADB" w:rsidRDefault="00400F22" w:rsidP="006E6FED">
      <w:pPr>
        <w:pStyle w:val="Odstavecseseznamem"/>
        <w:numPr>
          <w:ilvl w:val="0"/>
          <w:numId w:val="44"/>
        </w:numPr>
        <w:jc w:val="both"/>
        <w:rPr>
          <w:rFonts w:ascii="Arial" w:hAnsi="Arial" w:cs="Arial"/>
          <w:i/>
        </w:rPr>
      </w:pPr>
      <w:r w:rsidRPr="00423ADB">
        <w:rPr>
          <w:rFonts w:ascii="Arial" w:hAnsi="Arial" w:cs="Arial"/>
          <w:i/>
        </w:rPr>
        <w:t xml:space="preserve">existence značných, a nikoli dočasných strukturálních, právních nebo regulačních překážek vstupu; </w:t>
      </w:r>
    </w:p>
    <w:p w14:paraId="413D3A82" w14:textId="00A44DB5" w:rsidR="00400F22" w:rsidRPr="00423ADB" w:rsidRDefault="00400F22" w:rsidP="006E6FED">
      <w:pPr>
        <w:pStyle w:val="Odstavecseseznamem"/>
        <w:numPr>
          <w:ilvl w:val="0"/>
          <w:numId w:val="44"/>
        </w:numPr>
        <w:jc w:val="both"/>
        <w:rPr>
          <w:rFonts w:ascii="Arial" w:hAnsi="Arial" w:cs="Arial"/>
          <w:i/>
        </w:rPr>
      </w:pPr>
      <w:r w:rsidRPr="00423ADB">
        <w:rPr>
          <w:rFonts w:ascii="Arial" w:hAnsi="Arial" w:cs="Arial"/>
          <w:i/>
        </w:rPr>
        <w:t>struktura trhu, který v daném časovém horizontu nesmě</w:t>
      </w:r>
      <w:r w:rsidR="00BC74DB" w:rsidRPr="00423ADB">
        <w:rPr>
          <w:rFonts w:ascii="Arial" w:hAnsi="Arial" w:cs="Arial"/>
          <w:i/>
        </w:rPr>
        <w:t>ř</w:t>
      </w:r>
      <w:r w:rsidRPr="00423ADB">
        <w:rPr>
          <w:rFonts w:ascii="Arial" w:hAnsi="Arial" w:cs="Arial"/>
          <w:i/>
        </w:rPr>
        <w:t xml:space="preserve">uje k účinné hospodářské soutěži, a to s ohledem na stav hospodářské soutěže založené na infrastruktuře a jiné hospodářské soutěže, které́ vyvolávají překážky vstupu; </w:t>
      </w:r>
    </w:p>
    <w:p w14:paraId="64FA51DC" w14:textId="5D1F9638" w:rsidR="00400F22" w:rsidRPr="00423ADB" w:rsidRDefault="00400F22" w:rsidP="006E6FED">
      <w:pPr>
        <w:pStyle w:val="Odstavecseseznamem"/>
        <w:numPr>
          <w:ilvl w:val="0"/>
          <w:numId w:val="44"/>
        </w:numPr>
        <w:jc w:val="both"/>
        <w:rPr>
          <w:rFonts w:ascii="Arial" w:hAnsi="Arial" w:cs="Arial"/>
          <w:i/>
        </w:rPr>
      </w:pPr>
      <w:r w:rsidRPr="00423ADB">
        <w:rPr>
          <w:rFonts w:ascii="Arial" w:hAnsi="Arial" w:cs="Arial"/>
          <w:i/>
        </w:rPr>
        <w:t>samo právo hospodářské soutěže není schopno dostatečně reagovat na uvedené selhaní trhu.</w:t>
      </w:r>
      <w:r w:rsidR="00993586" w:rsidRPr="00423ADB">
        <w:rPr>
          <w:rFonts w:ascii="Arial" w:hAnsi="Arial" w:cs="Arial"/>
          <w:i/>
        </w:rPr>
        <w:t xml:space="preserve"> </w:t>
      </w:r>
    </w:p>
    <w:p w14:paraId="78D21A3C" w14:textId="492ABA2A" w:rsidR="00846D02" w:rsidRPr="00423ADB" w:rsidRDefault="0007355F" w:rsidP="00FD3F93">
      <w:pPr>
        <w:ind w:firstLine="708"/>
        <w:jc w:val="both"/>
        <w:rPr>
          <w:rFonts w:ascii="Arial" w:hAnsi="Arial" w:cs="Arial"/>
        </w:rPr>
      </w:pPr>
      <w:r w:rsidRPr="00423ADB">
        <w:rPr>
          <w:rFonts w:ascii="Arial" w:hAnsi="Arial" w:cs="Arial"/>
        </w:rPr>
        <w:t xml:space="preserve"> </w:t>
      </w:r>
    </w:p>
    <w:p w14:paraId="1683D501" w14:textId="77777777" w:rsidR="00E938EA" w:rsidRPr="00423ADB" w:rsidRDefault="00E938EA" w:rsidP="00D201A9">
      <w:pPr>
        <w:ind w:firstLine="708"/>
        <w:jc w:val="both"/>
        <w:rPr>
          <w:rFonts w:ascii="Arial" w:hAnsi="Arial" w:cs="Arial"/>
          <w:b/>
        </w:rPr>
      </w:pPr>
      <w:r w:rsidRPr="00423ADB">
        <w:rPr>
          <w:rFonts w:ascii="Arial" w:hAnsi="Arial" w:cs="Arial"/>
          <w:b/>
        </w:rPr>
        <w:lastRenderedPageBreak/>
        <w:t>Závěr T3K mobilního trhu ke kritériu č. 1</w:t>
      </w:r>
    </w:p>
    <w:p w14:paraId="6CC751A9" w14:textId="73985C96" w:rsidR="00D201A9" w:rsidRPr="00423ADB" w:rsidRDefault="00D201A9" w:rsidP="00D201A9">
      <w:pPr>
        <w:ind w:firstLine="708"/>
        <w:jc w:val="both"/>
        <w:rPr>
          <w:rFonts w:ascii="Arial" w:hAnsi="Arial" w:cs="Arial"/>
        </w:rPr>
      </w:pPr>
      <w:r w:rsidRPr="00423ADB">
        <w:rPr>
          <w:rFonts w:ascii="Arial" w:hAnsi="Arial" w:cs="Arial"/>
        </w:rPr>
        <w:t xml:space="preserve">Úřad dospěl k závěru, že na trhu existují překážky (strukturální, právní a regulační) pro vstup plnohodnotného síťového operátora (MNO) na trh. Vstup na trh je </w:t>
      </w:r>
      <w:r w:rsidR="00E7365F" w:rsidRPr="00423ADB">
        <w:rPr>
          <w:rFonts w:ascii="Arial" w:hAnsi="Arial" w:cs="Arial"/>
        </w:rPr>
        <w:t xml:space="preserve">podle zjištění Úřadu </w:t>
      </w:r>
      <w:r w:rsidRPr="00423ADB">
        <w:rPr>
          <w:rFonts w:ascii="Arial" w:hAnsi="Arial" w:cs="Arial"/>
        </w:rPr>
        <w:t>umožněn operátorům ve formě MVNO (resp. MVNE), a to jak na základě komerčních velkoobchodních smluv, tak na základě referenčních nabídek od MNO. Úřad nicméně v rámci vyhodnocení tohoto kritéria identifikoval možné překážky plynoucí z nastavení podmínek komerčních smluv MVNO, jejichž úprava MVNO neumožňuje působit a rozvíjet se na trhu tak, aby mohli reagovat na vývoj trhu a nabídky MNO</w:t>
      </w:r>
      <w:r w:rsidR="006978C8" w:rsidRPr="00423ADB">
        <w:rPr>
          <w:rFonts w:ascii="Arial" w:hAnsi="Arial" w:cs="Arial"/>
        </w:rPr>
        <w:t>, o čemž vypovídá i vývoj tržního podílu MVNO</w:t>
      </w:r>
      <w:r w:rsidR="009951A7" w:rsidRPr="00423ADB">
        <w:rPr>
          <w:rFonts w:ascii="Arial" w:hAnsi="Arial" w:cs="Arial"/>
        </w:rPr>
        <w:t xml:space="preserve"> od roku 2014</w:t>
      </w:r>
      <w:r w:rsidR="00CA2FC3" w:rsidRPr="00423ADB">
        <w:rPr>
          <w:rFonts w:ascii="Arial" w:hAnsi="Arial" w:cs="Arial"/>
        </w:rPr>
        <w:t xml:space="preserve"> na celkovém počtu SIM karet (</w:t>
      </w:r>
      <w:r w:rsidR="009951A7" w:rsidRPr="00423ADB">
        <w:rPr>
          <w:rFonts w:ascii="Arial" w:hAnsi="Arial" w:cs="Arial"/>
        </w:rPr>
        <w:t>okolo</w:t>
      </w:r>
      <w:r w:rsidR="00CA2FC3" w:rsidRPr="00423ADB">
        <w:rPr>
          <w:rFonts w:ascii="Arial" w:hAnsi="Arial" w:cs="Arial"/>
        </w:rPr>
        <w:t xml:space="preserve"> 7 %)</w:t>
      </w:r>
      <w:r w:rsidR="006978C8" w:rsidRPr="00423ADB">
        <w:rPr>
          <w:rFonts w:ascii="Arial" w:hAnsi="Arial" w:cs="Arial"/>
        </w:rPr>
        <w:t xml:space="preserve">, vč. pohledu na vývoj </w:t>
      </w:r>
      <w:r w:rsidR="00CA2FC3" w:rsidRPr="00423ADB">
        <w:rPr>
          <w:rFonts w:ascii="Arial" w:hAnsi="Arial" w:cs="Arial"/>
        </w:rPr>
        <w:t xml:space="preserve">tržního podílu </w:t>
      </w:r>
      <w:r w:rsidR="006978C8" w:rsidRPr="00423ADB">
        <w:rPr>
          <w:rFonts w:ascii="Arial" w:hAnsi="Arial" w:cs="Arial"/>
        </w:rPr>
        <w:t>nezávislých MVNO</w:t>
      </w:r>
      <w:r w:rsidR="00CA2FC3" w:rsidRPr="00423ADB">
        <w:rPr>
          <w:rFonts w:ascii="Arial" w:hAnsi="Arial" w:cs="Arial"/>
        </w:rPr>
        <w:t xml:space="preserve"> (okolo 3</w:t>
      </w:r>
      <w:r w:rsidR="0067106E" w:rsidRPr="00423ADB">
        <w:rPr>
          <w:rFonts w:ascii="Arial" w:hAnsi="Arial" w:cs="Arial"/>
        </w:rPr>
        <w:t xml:space="preserve"> </w:t>
      </w:r>
      <w:r w:rsidR="00CA2FC3" w:rsidRPr="00423ADB">
        <w:rPr>
          <w:rFonts w:ascii="Arial" w:hAnsi="Arial" w:cs="Arial"/>
        </w:rPr>
        <w:t>%)</w:t>
      </w:r>
      <w:r w:rsidR="009951A7" w:rsidRPr="00423ADB">
        <w:rPr>
          <w:rFonts w:ascii="Arial" w:hAnsi="Arial" w:cs="Arial"/>
        </w:rPr>
        <w:t xml:space="preserve">, který již dále neroste, </w:t>
      </w:r>
      <w:r w:rsidR="005442E2" w:rsidRPr="00423ADB">
        <w:rPr>
          <w:rFonts w:ascii="Arial" w:hAnsi="Arial" w:cs="Arial"/>
        </w:rPr>
        <w:t xml:space="preserve">a </w:t>
      </w:r>
      <w:r w:rsidR="009951A7" w:rsidRPr="00423ADB">
        <w:rPr>
          <w:rFonts w:ascii="Arial" w:hAnsi="Arial" w:cs="Arial"/>
        </w:rPr>
        <w:t>naopak stagnuje či klesá</w:t>
      </w:r>
      <w:r w:rsidRPr="00423ADB">
        <w:rPr>
          <w:rFonts w:ascii="Arial" w:hAnsi="Arial" w:cs="Arial"/>
        </w:rPr>
        <w:t>. Úřad má</w:t>
      </w:r>
      <w:r w:rsidR="00993586" w:rsidRPr="00423ADB">
        <w:rPr>
          <w:rFonts w:ascii="Arial" w:hAnsi="Arial" w:cs="Arial"/>
        </w:rPr>
        <w:t xml:space="preserve"> </w:t>
      </w:r>
      <w:r w:rsidR="00D13448" w:rsidRPr="00423ADB">
        <w:rPr>
          <w:rFonts w:ascii="Arial" w:hAnsi="Arial" w:cs="Arial"/>
        </w:rPr>
        <w:t>na základě všech dostupných informací za to</w:t>
      </w:r>
      <w:r w:rsidRPr="00423ADB">
        <w:rPr>
          <w:rFonts w:ascii="Arial" w:hAnsi="Arial" w:cs="Arial"/>
        </w:rPr>
        <w:t xml:space="preserve">, že bariéry vstupu na trh a působení na trhu pro MVNO a MVNE existují. </w:t>
      </w:r>
    </w:p>
    <w:p w14:paraId="3594A0E7" w14:textId="11ED2499" w:rsidR="00D201A9" w:rsidRPr="00423ADB" w:rsidRDefault="00D201A9" w:rsidP="00D201A9">
      <w:pPr>
        <w:ind w:firstLine="708"/>
        <w:jc w:val="both"/>
        <w:rPr>
          <w:rFonts w:ascii="Arial" w:hAnsi="Arial" w:cs="Arial"/>
        </w:rPr>
      </w:pPr>
      <w:r w:rsidRPr="00423ADB">
        <w:rPr>
          <w:rFonts w:ascii="Arial" w:hAnsi="Arial" w:cs="Arial"/>
        </w:rPr>
        <w:t>Úřad</w:t>
      </w:r>
      <w:r w:rsidR="00FD2CA3" w:rsidRPr="00423ADB">
        <w:rPr>
          <w:rFonts w:ascii="Arial" w:hAnsi="Arial" w:cs="Arial"/>
        </w:rPr>
        <w:t xml:space="preserve"> shledal možnou </w:t>
      </w:r>
      <w:r w:rsidR="00CB2F29" w:rsidRPr="00423ADB">
        <w:rPr>
          <w:rFonts w:ascii="Arial" w:hAnsi="Arial" w:cs="Arial"/>
        </w:rPr>
        <w:t xml:space="preserve">existenci </w:t>
      </w:r>
      <w:r w:rsidRPr="00423ADB">
        <w:rPr>
          <w:rFonts w:ascii="Arial" w:hAnsi="Arial" w:cs="Arial"/>
        </w:rPr>
        <w:t>strukturálních, právních nebo regulačních překážek vstupu MNO a působení MVNO na trhu, které nemají dočasný charakter.</w:t>
      </w:r>
    </w:p>
    <w:p w14:paraId="67E44BC7" w14:textId="51A1C8B0" w:rsidR="00A45F0D" w:rsidRPr="00423ADB" w:rsidRDefault="00A45F0D" w:rsidP="00D201A9">
      <w:pPr>
        <w:ind w:firstLine="708"/>
        <w:jc w:val="both"/>
        <w:rPr>
          <w:rFonts w:ascii="Arial" w:hAnsi="Arial" w:cs="Arial"/>
        </w:rPr>
      </w:pPr>
      <w:r w:rsidRPr="00423ADB">
        <w:rPr>
          <w:rFonts w:ascii="Arial" w:hAnsi="Arial" w:cs="Arial"/>
        </w:rPr>
        <w:t>Výše uvedený závěr Úřadu v T3K mobilního trhu ke kritériu č. 1 je tak v souladu s</w:t>
      </w:r>
      <w:r w:rsidR="002E7149" w:rsidRPr="00423ADB">
        <w:t> </w:t>
      </w:r>
      <w:r w:rsidR="002E7149" w:rsidRPr="00423ADB">
        <w:rPr>
          <w:rFonts w:ascii="Arial" w:hAnsi="Arial" w:cs="Arial"/>
        </w:rPr>
        <w:t xml:space="preserve">doporučeními </w:t>
      </w:r>
      <w:r w:rsidR="009C4FDC" w:rsidRPr="00423ADB">
        <w:rPr>
          <w:rFonts w:ascii="Arial" w:hAnsi="Arial" w:cs="Arial"/>
        </w:rPr>
        <w:t>uvedený</w:t>
      </w:r>
      <w:r w:rsidR="002E7149" w:rsidRPr="00423ADB">
        <w:rPr>
          <w:rFonts w:ascii="Arial" w:hAnsi="Arial" w:cs="Arial"/>
        </w:rPr>
        <w:t>mi</w:t>
      </w:r>
      <w:r w:rsidR="009C4FDC" w:rsidRPr="00423ADB">
        <w:rPr>
          <w:rFonts w:ascii="Arial" w:hAnsi="Arial" w:cs="Arial"/>
        </w:rPr>
        <w:t xml:space="preserve"> v</w:t>
      </w:r>
      <w:r w:rsidR="00DA2219" w:rsidRPr="00423ADB">
        <w:rPr>
          <w:rFonts w:ascii="Arial" w:hAnsi="Arial" w:cs="Arial"/>
        </w:rPr>
        <w:t xml:space="preserve"> dokumentu</w:t>
      </w:r>
      <w:r w:rsidR="009C4FDC" w:rsidRPr="00423ADB">
        <w:rPr>
          <w:rFonts w:ascii="Arial" w:hAnsi="Arial" w:cs="Arial"/>
        </w:rPr>
        <w:t xml:space="preserve"> „</w:t>
      </w:r>
      <w:proofErr w:type="spellStart"/>
      <w:r w:rsidR="009C4FDC" w:rsidRPr="00423ADB">
        <w:rPr>
          <w:rFonts w:ascii="Arial" w:hAnsi="Arial" w:cs="Arial"/>
        </w:rPr>
        <w:t>Explanatory</w:t>
      </w:r>
      <w:proofErr w:type="spellEnd"/>
      <w:r w:rsidR="009C4FDC" w:rsidRPr="00423ADB">
        <w:rPr>
          <w:rFonts w:ascii="Arial" w:hAnsi="Arial" w:cs="Arial"/>
        </w:rPr>
        <w:t xml:space="preserve"> </w:t>
      </w:r>
      <w:proofErr w:type="spellStart"/>
      <w:r w:rsidR="009C4FDC" w:rsidRPr="00423ADB">
        <w:rPr>
          <w:rFonts w:ascii="Arial" w:hAnsi="Arial" w:cs="Arial"/>
        </w:rPr>
        <w:t>Note</w:t>
      </w:r>
      <w:proofErr w:type="spellEnd"/>
      <w:r w:rsidR="009C4FDC" w:rsidRPr="00423ADB">
        <w:rPr>
          <w:rFonts w:ascii="Arial" w:hAnsi="Arial" w:cs="Arial"/>
        </w:rPr>
        <w:t>“</w:t>
      </w:r>
      <w:r w:rsidR="00070F17" w:rsidRPr="00423ADB">
        <w:rPr>
          <w:rStyle w:val="Znakapoznpodarou"/>
          <w:rFonts w:ascii="Arial" w:hAnsi="Arial" w:cs="Arial"/>
        </w:rPr>
        <w:footnoteReference w:id="5"/>
      </w:r>
      <w:r w:rsidR="00DA2219" w:rsidRPr="00423ADB">
        <w:rPr>
          <w:rFonts w:ascii="Arial" w:hAnsi="Arial" w:cs="Arial"/>
        </w:rPr>
        <w:t>,</w:t>
      </w:r>
      <w:r w:rsidR="002E7149" w:rsidRPr="00423ADB">
        <w:rPr>
          <w:rFonts w:ascii="Arial" w:hAnsi="Arial" w:cs="Arial"/>
        </w:rPr>
        <w:t xml:space="preserve"> vydan</w:t>
      </w:r>
      <w:r w:rsidR="00DA2219" w:rsidRPr="00423ADB">
        <w:rPr>
          <w:rFonts w:ascii="Arial" w:hAnsi="Arial" w:cs="Arial"/>
        </w:rPr>
        <w:t>ému</w:t>
      </w:r>
      <w:r w:rsidR="002E7149" w:rsidRPr="00423ADB">
        <w:rPr>
          <w:rFonts w:ascii="Arial" w:hAnsi="Arial" w:cs="Arial"/>
        </w:rPr>
        <w:t xml:space="preserve"> k</w:t>
      </w:r>
      <w:r w:rsidRPr="00423ADB">
        <w:rPr>
          <w:rFonts w:ascii="Arial" w:hAnsi="Arial" w:cs="Arial"/>
        </w:rPr>
        <w:t xml:space="preserve"> Doporučení EK 2014/</w:t>
      </w:r>
      <w:r w:rsidR="00070F17" w:rsidRPr="00423ADB">
        <w:rPr>
          <w:rFonts w:ascii="Arial" w:hAnsi="Arial" w:cs="Arial"/>
        </w:rPr>
        <w:t>7</w:t>
      </w:r>
      <w:r w:rsidRPr="00423ADB">
        <w:rPr>
          <w:rFonts w:ascii="Arial" w:hAnsi="Arial" w:cs="Arial"/>
        </w:rPr>
        <w:t xml:space="preserve">10/EU, ve kterém se mj. uvádí, že při zkoumání naplnění prvního kritéria nelze hodnotit izolovaně možnost vstupu na trh jako takovou, ale zejména je nutné zkoumat, zda nově vstupující subjekty mají možnost se na trhu dlouhodobě stabilně udržet (bez další formy regulace ze strany Úřadu) a vyvíjet významnější vliv na tržní chování, zejména na chování případného podniku s významnou tržní silou. </w:t>
      </w:r>
      <w:r w:rsidR="00D13448" w:rsidRPr="00423ADB">
        <w:rPr>
          <w:rFonts w:ascii="Arial" w:hAnsi="Arial" w:cs="Arial"/>
        </w:rPr>
        <w:t xml:space="preserve">Sama </w:t>
      </w:r>
      <w:r w:rsidR="00BF4946" w:rsidRPr="00423ADB">
        <w:rPr>
          <w:rFonts w:ascii="Arial" w:hAnsi="Arial" w:cs="Arial"/>
        </w:rPr>
        <w:t>EK</w:t>
      </w:r>
      <w:r w:rsidR="00D13448" w:rsidRPr="00423ADB">
        <w:rPr>
          <w:rFonts w:ascii="Arial" w:hAnsi="Arial" w:cs="Arial"/>
        </w:rPr>
        <w:t xml:space="preserve"> ve svém dokumentu „</w:t>
      </w:r>
      <w:proofErr w:type="spellStart"/>
      <w:r w:rsidR="00D13448" w:rsidRPr="00423ADB">
        <w:rPr>
          <w:rFonts w:ascii="Arial" w:hAnsi="Arial" w:cs="Arial"/>
        </w:rPr>
        <w:t>Explanatory</w:t>
      </w:r>
      <w:proofErr w:type="spellEnd"/>
      <w:r w:rsidR="00D13448" w:rsidRPr="00423ADB">
        <w:rPr>
          <w:rFonts w:ascii="Arial" w:hAnsi="Arial" w:cs="Arial"/>
        </w:rPr>
        <w:t xml:space="preserve"> </w:t>
      </w:r>
      <w:proofErr w:type="spellStart"/>
      <w:r w:rsidR="00D13448" w:rsidRPr="00423ADB">
        <w:rPr>
          <w:rFonts w:ascii="Arial" w:hAnsi="Arial" w:cs="Arial"/>
        </w:rPr>
        <w:t>Note</w:t>
      </w:r>
      <w:proofErr w:type="spellEnd"/>
      <w:r w:rsidR="00D13448" w:rsidRPr="00423ADB">
        <w:rPr>
          <w:rFonts w:ascii="Arial" w:hAnsi="Arial" w:cs="Arial"/>
        </w:rPr>
        <w:t xml:space="preserve">“ </w:t>
      </w:r>
      <w:r w:rsidRPr="00423ADB">
        <w:rPr>
          <w:rFonts w:ascii="Arial" w:hAnsi="Arial" w:cs="Arial"/>
        </w:rPr>
        <w:t>výslovně uvádí, že existence vstupu na daný trh v malém rozsahu nemusí automaticky znamenat, že první kritérium T3K není splněno.</w:t>
      </w:r>
    </w:p>
    <w:p w14:paraId="7D3F7E3B" w14:textId="698D9FFF" w:rsidR="004259ED" w:rsidRPr="00423ADB" w:rsidRDefault="004259ED" w:rsidP="00D201A9">
      <w:pPr>
        <w:ind w:firstLine="708"/>
        <w:jc w:val="both"/>
        <w:rPr>
          <w:rFonts w:ascii="Arial" w:hAnsi="Arial" w:cs="Arial"/>
          <w:b/>
        </w:rPr>
      </w:pPr>
      <w:bookmarkStart w:id="6" w:name="_Hlk18567548"/>
      <w:r w:rsidRPr="00423ADB">
        <w:rPr>
          <w:rFonts w:ascii="Arial" w:hAnsi="Arial" w:cs="Arial"/>
          <w:b/>
        </w:rPr>
        <w:t>Závěr T3K mobilního trhu ke kritériu č. 2</w:t>
      </w:r>
      <w:bookmarkEnd w:id="6"/>
    </w:p>
    <w:p w14:paraId="27EBE458" w14:textId="4801845B" w:rsidR="00D201A9" w:rsidRPr="00423ADB" w:rsidRDefault="00D201A9" w:rsidP="00D201A9">
      <w:pPr>
        <w:ind w:firstLine="708"/>
        <w:jc w:val="both"/>
        <w:rPr>
          <w:rFonts w:ascii="Arial" w:hAnsi="Arial" w:cs="Arial"/>
        </w:rPr>
      </w:pPr>
      <w:r w:rsidRPr="00423ADB">
        <w:rPr>
          <w:rFonts w:ascii="Arial" w:hAnsi="Arial" w:cs="Arial"/>
        </w:rPr>
        <w:t>Úřad ve druhém kritériu zkoumal, zda struktura vymezeného trhu není takové povahy, která jej, i přes prokázanou existenci významných a trvalých překážek vstupu, předurčuje k rozvoji účinné hospodářské soutěže v příslušném časovém období. Úřad nalezl některé tržní problémy, které brání dalšímu a účinnějšímu rozvoji konkurenčního prostředí, mezi které patří snížená možnost MVNO zasáhnout do konkurenčního boje, vlivem nastavených podmínek velkoobchodních smluv</w:t>
      </w:r>
      <w:r w:rsidR="007B0F37" w:rsidRPr="00423ADB">
        <w:rPr>
          <w:rFonts w:ascii="Arial" w:hAnsi="Arial" w:cs="Arial"/>
        </w:rPr>
        <w:t>.</w:t>
      </w:r>
    </w:p>
    <w:p w14:paraId="1FA3D964" w14:textId="469CF03D" w:rsidR="00D201A9" w:rsidRPr="00423ADB" w:rsidRDefault="00D201A9" w:rsidP="00D201A9">
      <w:pPr>
        <w:ind w:firstLine="708"/>
        <w:jc w:val="both"/>
        <w:rPr>
          <w:rFonts w:ascii="Arial" w:hAnsi="Arial" w:cs="Arial"/>
        </w:rPr>
      </w:pPr>
      <w:r w:rsidRPr="00423ADB">
        <w:rPr>
          <w:rFonts w:ascii="Arial" w:hAnsi="Arial" w:cs="Arial"/>
        </w:rPr>
        <w:t>Na trhu s přetrvávajícími významnými bariérami vstupu může být rozvoj konkurence omezen a hůře udržitelný. Proto Úřad konstatuje, že v rámci vyhodnocení rozvoje konkurence shledal překážky rozvoje konkurence pro MVNO ze strany MNO, a to zejména z důvodu replikovatelnosti nabídek, neboť i přes pokles velkoobchodních cen není zajištěna replikovatelnost nabídek virtuálními operátory. Replikovatelnost nabídek však Úřad nepovažuje za nezbytnou na segmentu firemních zákazníků, neboť tam je podle Úřadu zajištěná vysoká úroveň konkurence ze strany samotných MNO.</w:t>
      </w:r>
    </w:p>
    <w:p w14:paraId="6BD78780" w14:textId="10CEAE2B" w:rsidR="00D201A9" w:rsidRPr="00423ADB" w:rsidRDefault="00D201A9" w:rsidP="00D201A9">
      <w:pPr>
        <w:ind w:firstLine="708"/>
        <w:jc w:val="both"/>
        <w:rPr>
          <w:rFonts w:ascii="Arial" w:hAnsi="Arial" w:cs="Arial"/>
        </w:rPr>
      </w:pPr>
      <w:r w:rsidRPr="00423ADB">
        <w:rPr>
          <w:rFonts w:ascii="Arial" w:hAnsi="Arial" w:cs="Arial"/>
        </w:rPr>
        <w:t xml:space="preserve">Dalším důvodem, který brání rozvoji konkurence na velkoobchodním (a přeneseně maloobchodním) trhu je zaostávání vývoje podmínek velkoobchodních smluv za vývojem maloobchodního trhu. V reakci na měnící se parametry maloobchodního trhu (klesající ceny </w:t>
      </w:r>
      <w:r w:rsidRPr="00423ADB">
        <w:rPr>
          <w:rFonts w:ascii="Arial" w:hAnsi="Arial" w:cs="Arial"/>
        </w:rPr>
        <w:lastRenderedPageBreak/>
        <w:t xml:space="preserve">či kvalitativní změna maloobchodních služeb síťových operátorů) by měly být přiměřeně měněny i podmínky velkoobchodních smluv. K tomu dle </w:t>
      </w:r>
      <w:r w:rsidR="008D758C" w:rsidRPr="00423ADB">
        <w:rPr>
          <w:rFonts w:ascii="Arial" w:hAnsi="Arial" w:cs="Arial"/>
        </w:rPr>
        <w:t xml:space="preserve">zjištění </w:t>
      </w:r>
      <w:r w:rsidRPr="00423ADB">
        <w:rPr>
          <w:rFonts w:ascii="Arial" w:hAnsi="Arial" w:cs="Arial"/>
        </w:rPr>
        <w:t>Úřadu nedochází.</w:t>
      </w:r>
    </w:p>
    <w:p w14:paraId="46761FDA" w14:textId="6072A57F" w:rsidR="00D201A9" w:rsidRPr="00423ADB" w:rsidRDefault="00D201A9" w:rsidP="00D201A9">
      <w:pPr>
        <w:ind w:firstLine="708"/>
        <w:jc w:val="both"/>
        <w:rPr>
          <w:rFonts w:ascii="Arial" w:hAnsi="Arial" w:cs="Arial"/>
          <w:u w:val="single"/>
        </w:rPr>
      </w:pPr>
      <w:r w:rsidRPr="00423ADB">
        <w:rPr>
          <w:rFonts w:ascii="Arial" w:hAnsi="Arial" w:cs="Arial"/>
        </w:rPr>
        <w:t xml:space="preserve">Druhé kritérium </w:t>
      </w:r>
      <w:r w:rsidR="006E76AD" w:rsidRPr="00423ADB">
        <w:rPr>
          <w:rFonts w:ascii="Arial" w:hAnsi="Arial" w:cs="Arial"/>
        </w:rPr>
        <w:t>T3K mobilního trhu</w:t>
      </w:r>
      <w:r w:rsidRPr="00423ADB">
        <w:rPr>
          <w:rFonts w:ascii="Arial" w:hAnsi="Arial" w:cs="Arial"/>
        </w:rPr>
        <w:t xml:space="preserve"> považuje Úřad za splněné pro segment rezidentních zákazníků.</w:t>
      </w:r>
    </w:p>
    <w:p w14:paraId="7B5A9D24" w14:textId="5DA1478C" w:rsidR="00D201A9" w:rsidRPr="00423ADB" w:rsidRDefault="008E704E" w:rsidP="00D201A9">
      <w:pPr>
        <w:ind w:firstLine="708"/>
        <w:jc w:val="both"/>
        <w:rPr>
          <w:rFonts w:ascii="Arial" w:hAnsi="Arial" w:cs="Arial"/>
          <w:b/>
        </w:rPr>
      </w:pPr>
      <w:r w:rsidRPr="00423ADB">
        <w:rPr>
          <w:rFonts w:ascii="Arial" w:hAnsi="Arial" w:cs="Arial"/>
          <w:b/>
        </w:rPr>
        <w:t>Závěr T3K mobilního trhu ke kritériu č. 3</w:t>
      </w:r>
      <w:r w:rsidR="00D201A9" w:rsidRPr="00423ADB">
        <w:rPr>
          <w:rFonts w:ascii="Arial" w:hAnsi="Arial" w:cs="Arial"/>
          <w:b/>
        </w:rPr>
        <w:t xml:space="preserve">: </w:t>
      </w:r>
    </w:p>
    <w:p w14:paraId="5E4B777F" w14:textId="451B9F1C" w:rsidR="00D201A9" w:rsidRPr="00423ADB" w:rsidRDefault="00D201A9" w:rsidP="00D201A9">
      <w:pPr>
        <w:ind w:firstLine="708"/>
        <w:jc w:val="both"/>
        <w:rPr>
          <w:rFonts w:ascii="Arial" w:hAnsi="Arial" w:cs="Arial"/>
        </w:rPr>
      </w:pPr>
      <w:r w:rsidRPr="00423ADB">
        <w:rPr>
          <w:rFonts w:ascii="Arial" w:hAnsi="Arial" w:cs="Arial"/>
        </w:rPr>
        <w:t>Úřad konstatuje, že třetí kritérium je splněno. Uplatňování práva hospodářské soutěže samo o sobě dostatečně nezajistí odstranění nalezené bariéry vstupu na trh a rozvoj konkurence na segmentu rezidentních zákazníků, a proto je třeba vymezený velkoobchodní trh analyzovat z hlediska existence důvodů pro uplatnění sektorově specifické regulace.</w:t>
      </w:r>
    </w:p>
    <w:p w14:paraId="23224E8C" w14:textId="0DB92802" w:rsidR="00D201A9" w:rsidRPr="00423ADB" w:rsidRDefault="00D201A9" w:rsidP="00B95BC9">
      <w:pPr>
        <w:ind w:firstLine="709"/>
        <w:jc w:val="both"/>
        <w:rPr>
          <w:rFonts w:ascii="Arial" w:hAnsi="Arial" w:cs="Arial"/>
        </w:rPr>
      </w:pPr>
      <w:r w:rsidRPr="00423ADB">
        <w:rPr>
          <w:rFonts w:ascii="Arial" w:hAnsi="Arial" w:cs="Arial"/>
        </w:rPr>
        <w:t xml:space="preserve">Úřad tak na základě provedeného </w:t>
      </w:r>
      <w:r w:rsidR="008344FB" w:rsidRPr="00423ADB">
        <w:rPr>
          <w:rFonts w:ascii="Arial" w:hAnsi="Arial" w:cs="Arial"/>
        </w:rPr>
        <w:t>T3K mobilního trhu</w:t>
      </w:r>
      <w:r w:rsidRPr="00423ADB">
        <w:rPr>
          <w:rFonts w:ascii="Arial" w:hAnsi="Arial" w:cs="Arial"/>
        </w:rPr>
        <w:t xml:space="preserve"> dospěl k závěru, že velkoobchodní trh přístupu k mobilním službám je trhem vhodným pro </w:t>
      </w:r>
      <w:r w:rsidR="00D85213" w:rsidRPr="00423ADB">
        <w:rPr>
          <w:rFonts w:ascii="Arial" w:hAnsi="Arial" w:cs="Arial"/>
        </w:rPr>
        <w:t>ex-ante</w:t>
      </w:r>
      <w:r w:rsidRPr="00423ADB">
        <w:rPr>
          <w:rFonts w:ascii="Arial" w:hAnsi="Arial" w:cs="Arial"/>
        </w:rPr>
        <w:t xml:space="preserve"> regulaci, a proto jej Úřad </w:t>
      </w:r>
      <w:r w:rsidR="00647125" w:rsidRPr="00423ADB">
        <w:rPr>
          <w:rFonts w:ascii="Arial" w:hAnsi="Arial" w:cs="Arial"/>
        </w:rPr>
        <w:t>navrhuje zařadit</w:t>
      </w:r>
      <w:r w:rsidRPr="00423ADB">
        <w:rPr>
          <w:rFonts w:ascii="Arial" w:hAnsi="Arial" w:cs="Arial"/>
        </w:rPr>
        <w:t xml:space="preserve"> do seznamu relevantních trhů. Tento trh tedy bude považován za relevantní, a to až do doby, než bude </w:t>
      </w:r>
      <w:r w:rsidR="00AA14D9" w:rsidRPr="00423ADB">
        <w:rPr>
          <w:rFonts w:ascii="Arial" w:hAnsi="Arial" w:cs="Arial"/>
        </w:rPr>
        <w:t xml:space="preserve">na základě nového T3K vyřazen ze seznamu relevantních trhů vymezených opatřením obecné povahy. </w:t>
      </w:r>
    </w:p>
    <w:p w14:paraId="479AE7F8" w14:textId="28ABB13B" w:rsidR="00985A53" w:rsidRPr="00423ADB" w:rsidRDefault="00985A53" w:rsidP="006E2AC1">
      <w:pPr>
        <w:jc w:val="center"/>
        <w:rPr>
          <w:rFonts w:ascii="Arial" w:hAnsi="Arial" w:cs="Arial"/>
        </w:rPr>
      </w:pPr>
      <w:r w:rsidRPr="00423ADB">
        <w:rPr>
          <w:rFonts w:ascii="Arial" w:hAnsi="Arial" w:cs="Arial"/>
        </w:rPr>
        <w:t>****</w:t>
      </w:r>
    </w:p>
    <w:p w14:paraId="54C4B1D8" w14:textId="4C1A0C90" w:rsidR="00985A53" w:rsidRPr="00423ADB" w:rsidRDefault="00985A53" w:rsidP="00985A53">
      <w:pPr>
        <w:jc w:val="both"/>
        <w:rPr>
          <w:rFonts w:ascii="Arial" w:hAnsi="Arial" w:cs="Arial"/>
          <w:b/>
        </w:rPr>
      </w:pPr>
      <w:r w:rsidRPr="00423ADB">
        <w:rPr>
          <w:rFonts w:ascii="Arial" w:hAnsi="Arial" w:cs="Arial"/>
          <w:b/>
        </w:rPr>
        <w:t>Veřejná konzultace</w:t>
      </w:r>
      <w:r w:rsidR="003B7486" w:rsidRPr="00423ADB">
        <w:rPr>
          <w:rFonts w:ascii="Arial" w:hAnsi="Arial" w:cs="Arial"/>
          <w:b/>
        </w:rPr>
        <w:t xml:space="preserve"> výsledků </w:t>
      </w:r>
      <w:r w:rsidR="008344FB" w:rsidRPr="00423ADB">
        <w:rPr>
          <w:rFonts w:ascii="Arial" w:hAnsi="Arial" w:cs="Arial"/>
          <w:b/>
        </w:rPr>
        <w:t>T3K mobilního trhu</w:t>
      </w:r>
    </w:p>
    <w:p w14:paraId="18E786F5" w14:textId="2F2E939F" w:rsidR="00985A53" w:rsidRPr="00423ADB" w:rsidRDefault="004233EA" w:rsidP="00985A53">
      <w:pPr>
        <w:ind w:firstLine="709"/>
        <w:jc w:val="both"/>
        <w:rPr>
          <w:rFonts w:ascii="Arial" w:hAnsi="Arial" w:cs="Arial"/>
        </w:rPr>
      </w:pPr>
      <w:r w:rsidRPr="00423ADB">
        <w:rPr>
          <w:rFonts w:ascii="Arial" w:hAnsi="Arial" w:cs="Arial"/>
        </w:rPr>
        <w:t xml:space="preserve">K předmětnému </w:t>
      </w:r>
      <w:r w:rsidR="008344FB" w:rsidRPr="00423ADB">
        <w:rPr>
          <w:rFonts w:ascii="Arial" w:hAnsi="Arial" w:cs="Arial"/>
        </w:rPr>
        <w:t>T3K mobilního trhu</w:t>
      </w:r>
      <w:r w:rsidRPr="00423ADB">
        <w:rPr>
          <w:rFonts w:ascii="Arial" w:hAnsi="Arial" w:cs="Arial"/>
        </w:rPr>
        <w:t xml:space="preserve"> Úřad provedl v souladu s § 52 odst. 2 Zákona </w:t>
      </w:r>
      <w:hyperlink r:id="rId10" w:history="1">
        <w:r w:rsidRPr="00423ADB">
          <w:rPr>
            <w:rStyle w:val="Hypertextovodkaz"/>
            <w:rFonts w:ascii="Arial" w:hAnsi="Arial" w:cs="Arial"/>
            <w:color w:val="auto"/>
          </w:rPr>
          <w:t>veřejnou konzultaci</w:t>
        </w:r>
      </w:hyperlink>
      <w:r w:rsidRPr="00423ADB">
        <w:rPr>
          <w:rFonts w:ascii="Arial" w:hAnsi="Arial" w:cs="Arial"/>
        </w:rPr>
        <w:t xml:space="preserve"> s dotčenými subjekty podle § 130 Zákona. </w:t>
      </w:r>
      <w:r w:rsidR="00985A53" w:rsidRPr="00423ADB">
        <w:rPr>
          <w:rFonts w:ascii="Arial" w:hAnsi="Arial" w:cs="Arial"/>
        </w:rPr>
        <w:t xml:space="preserve">Úřad zveřejnil návrh hodnocení testu tří kritérií Trhu mobilních služeb a výzvu k uplatnění připomínek k tomuto návrhu na </w:t>
      </w:r>
      <w:hyperlink r:id="rId11" w:history="1">
        <w:r w:rsidR="00985A53" w:rsidRPr="00423ADB">
          <w:rPr>
            <w:rStyle w:val="Hypertextovodkaz"/>
            <w:rFonts w:ascii="Arial" w:hAnsi="Arial" w:cs="Arial"/>
            <w:color w:val="auto"/>
          </w:rPr>
          <w:t>diskusním místě</w:t>
        </w:r>
      </w:hyperlink>
      <w:r w:rsidR="00985A53" w:rsidRPr="00423ADB">
        <w:rPr>
          <w:rFonts w:ascii="Arial" w:hAnsi="Arial" w:cs="Arial"/>
        </w:rPr>
        <w:t xml:space="preserve"> dne 17. srpna 2017. Připomínky k návrhu bylo možno uplatnit </w:t>
      </w:r>
      <w:r w:rsidR="00B40E1F" w:rsidRPr="00423ADB">
        <w:rPr>
          <w:rFonts w:ascii="Arial" w:hAnsi="Arial" w:cs="Arial"/>
        </w:rPr>
        <w:t xml:space="preserve">na žádost dotčených subjektů v prodloužené lhůtě až </w:t>
      </w:r>
      <w:r w:rsidR="00985A53" w:rsidRPr="00423ADB">
        <w:rPr>
          <w:rFonts w:ascii="Arial" w:hAnsi="Arial" w:cs="Arial"/>
        </w:rPr>
        <w:t>do 17. října 2017. K návrhu opatření obecné povahy se vyjádřilo deset subjektů, zastupujících jak mobilní síťové operátory, tak i mobilní virtuální operátory a asociace</w:t>
      </w:r>
      <w:r w:rsidR="00322CDD" w:rsidRPr="00423ADB">
        <w:rPr>
          <w:rFonts w:ascii="Arial" w:hAnsi="Arial" w:cs="Arial"/>
        </w:rPr>
        <w:t>,</w:t>
      </w:r>
      <w:r w:rsidR="00985A53" w:rsidRPr="00423ADB">
        <w:rPr>
          <w:rFonts w:ascii="Arial" w:hAnsi="Arial" w:cs="Arial"/>
        </w:rPr>
        <w:t xml:space="preserve"> v nichž jsou tito operátoři sdruženi. </w:t>
      </w:r>
    </w:p>
    <w:p w14:paraId="05313688" w14:textId="5109F88A" w:rsidR="00985A53" w:rsidRPr="00423ADB" w:rsidRDefault="00985A53" w:rsidP="00985A53">
      <w:pPr>
        <w:ind w:firstLine="709"/>
        <w:jc w:val="both"/>
        <w:rPr>
          <w:rFonts w:ascii="Arial" w:hAnsi="Arial" w:cs="Arial"/>
        </w:rPr>
      </w:pPr>
      <w:r w:rsidRPr="00423ADB">
        <w:rPr>
          <w:rFonts w:ascii="Arial" w:hAnsi="Arial" w:cs="Arial"/>
        </w:rPr>
        <w:t xml:space="preserve">Přehled všech uplatněných připomínek, stanovisek a názorů (pokud nebyly připomínkujícím subjektem označeny za předmět obchodního tajemství) Úřad zveřejnil na </w:t>
      </w:r>
      <w:hyperlink r:id="rId12" w:history="1">
        <w:r w:rsidRPr="00423ADB">
          <w:rPr>
            <w:rStyle w:val="Hypertextovodkaz"/>
            <w:rFonts w:ascii="Arial" w:hAnsi="Arial" w:cs="Arial"/>
            <w:color w:val="auto"/>
          </w:rPr>
          <w:t>diskusním místě</w:t>
        </w:r>
      </w:hyperlink>
      <w:r w:rsidRPr="00423ADB">
        <w:rPr>
          <w:rFonts w:ascii="Arial" w:hAnsi="Arial" w:cs="Arial"/>
        </w:rPr>
        <w:t xml:space="preserve"> včetně </w:t>
      </w:r>
      <w:hyperlink r:id="rId13" w:history="1">
        <w:r w:rsidRPr="00423ADB">
          <w:rPr>
            <w:rStyle w:val="Hypertextovodkaz"/>
            <w:rFonts w:ascii="Arial" w:hAnsi="Arial" w:cs="Arial"/>
            <w:color w:val="auto"/>
          </w:rPr>
          <w:t>vypořádání připomínek</w:t>
        </w:r>
      </w:hyperlink>
      <w:r w:rsidRPr="00423ADB">
        <w:rPr>
          <w:rFonts w:ascii="Arial" w:hAnsi="Arial" w:cs="Arial"/>
        </w:rPr>
        <w:t xml:space="preserve"> podle čl. 6 odst. 2 </w:t>
      </w:r>
      <w:r w:rsidR="00F20AE3" w:rsidRPr="00423ADB">
        <w:rPr>
          <w:rFonts w:ascii="Arial" w:hAnsi="Arial" w:cs="Arial"/>
        </w:rPr>
        <w:t>Pravidel Úřadu pro vedení konzultací na diskusním místě</w:t>
      </w:r>
      <w:r w:rsidRPr="00423ADB">
        <w:rPr>
          <w:rFonts w:ascii="Arial" w:hAnsi="Arial" w:cs="Arial"/>
        </w:rPr>
        <w:t>.</w:t>
      </w:r>
    </w:p>
    <w:p w14:paraId="66969BFD" w14:textId="77777777" w:rsidR="00D4369F" w:rsidRPr="00423ADB" w:rsidRDefault="00D4369F" w:rsidP="00D4369F">
      <w:pPr>
        <w:jc w:val="center"/>
        <w:rPr>
          <w:rFonts w:ascii="Arial" w:hAnsi="Arial" w:cs="Arial"/>
        </w:rPr>
      </w:pPr>
      <w:r w:rsidRPr="00423ADB">
        <w:rPr>
          <w:rFonts w:ascii="Arial" w:hAnsi="Arial" w:cs="Arial"/>
        </w:rPr>
        <w:t>****</w:t>
      </w:r>
    </w:p>
    <w:p w14:paraId="0F84729B" w14:textId="412F5B70" w:rsidR="00985A53" w:rsidRPr="00423ADB" w:rsidRDefault="00985A53" w:rsidP="00985A53">
      <w:pPr>
        <w:jc w:val="both"/>
        <w:rPr>
          <w:rFonts w:ascii="Arial" w:hAnsi="Arial" w:cs="Arial"/>
          <w:b/>
        </w:rPr>
      </w:pPr>
      <w:r w:rsidRPr="00423ADB">
        <w:rPr>
          <w:rFonts w:ascii="Arial" w:hAnsi="Arial" w:cs="Arial"/>
          <w:b/>
        </w:rPr>
        <w:t xml:space="preserve">Konzultace </w:t>
      </w:r>
      <w:r w:rsidR="003B7486" w:rsidRPr="00423ADB">
        <w:rPr>
          <w:rFonts w:ascii="Arial" w:hAnsi="Arial" w:cs="Arial"/>
          <w:b/>
        </w:rPr>
        <w:t xml:space="preserve">výsledků </w:t>
      </w:r>
      <w:r w:rsidR="008344FB" w:rsidRPr="00423ADB">
        <w:rPr>
          <w:rFonts w:ascii="Arial" w:hAnsi="Arial" w:cs="Arial"/>
          <w:b/>
        </w:rPr>
        <w:t>T3K mobilního trhu</w:t>
      </w:r>
      <w:r w:rsidR="003B7486" w:rsidRPr="00423ADB">
        <w:rPr>
          <w:rFonts w:ascii="Arial" w:hAnsi="Arial" w:cs="Arial"/>
          <w:b/>
        </w:rPr>
        <w:t xml:space="preserve"> </w:t>
      </w:r>
      <w:r w:rsidRPr="00423ADB">
        <w:rPr>
          <w:rFonts w:ascii="Arial" w:hAnsi="Arial" w:cs="Arial"/>
          <w:b/>
        </w:rPr>
        <w:t>s ÚOHS</w:t>
      </w:r>
    </w:p>
    <w:p w14:paraId="09180D4A" w14:textId="387E8CCD" w:rsidR="00032834" w:rsidRPr="00423ADB" w:rsidRDefault="00032834" w:rsidP="00985A53">
      <w:pPr>
        <w:ind w:firstLine="708"/>
        <w:jc w:val="both"/>
        <w:rPr>
          <w:rFonts w:ascii="Arial" w:hAnsi="Arial" w:cs="Arial"/>
        </w:rPr>
      </w:pPr>
      <w:r w:rsidRPr="00423ADB">
        <w:rPr>
          <w:rFonts w:ascii="Arial" w:hAnsi="Arial" w:cs="Arial"/>
        </w:rPr>
        <w:t xml:space="preserve">Úřad již v průběhu přípravy T3K mobilního trhu konzultoval na pracovních jednáních svoje dílčí závěry při zpracování testu s ÚOHS a jeho doporučení zapracovával již ve fázi přípravy T3K mobilního trhu. </w:t>
      </w:r>
    </w:p>
    <w:p w14:paraId="6EF37E84" w14:textId="32DA7BAC" w:rsidR="003B7486" w:rsidRPr="00423ADB" w:rsidRDefault="00985A53" w:rsidP="003F0551">
      <w:pPr>
        <w:spacing w:after="240"/>
        <w:ind w:firstLine="709"/>
        <w:jc w:val="both"/>
        <w:rPr>
          <w:rFonts w:ascii="Arial" w:hAnsi="Arial" w:cs="Arial"/>
        </w:rPr>
      </w:pPr>
      <w:r w:rsidRPr="00423ADB">
        <w:rPr>
          <w:rFonts w:ascii="Arial" w:hAnsi="Arial" w:cs="Arial"/>
        </w:rPr>
        <w:t>Úřad, po vypořádání připomínek dotčených subjektů obdržených v rámci veřejné konzultace, konzultoval návrh testu tří kritérií</w:t>
      </w:r>
      <w:r w:rsidR="00032834" w:rsidRPr="00423ADB">
        <w:rPr>
          <w:rFonts w:ascii="Arial" w:hAnsi="Arial" w:cs="Arial"/>
        </w:rPr>
        <w:t xml:space="preserve"> podle § 130 Zákona</w:t>
      </w:r>
      <w:r w:rsidRPr="00423ADB">
        <w:rPr>
          <w:rFonts w:ascii="Arial" w:hAnsi="Arial" w:cs="Arial"/>
        </w:rPr>
        <w:t xml:space="preserve"> rovněž s Ú</w:t>
      </w:r>
      <w:r w:rsidR="003B7486" w:rsidRPr="00423ADB">
        <w:rPr>
          <w:rFonts w:ascii="Arial" w:hAnsi="Arial" w:cs="Arial"/>
        </w:rPr>
        <w:t>OHS</w:t>
      </w:r>
      <w:r w:rsidRPr="00423ADB">
        <w:rPr>
          <w:rFonts w:ascii="Arial" w:hAnsi="Arial" w:cs="Arial"/>
        </w:rPr>
        <w:t>, jehož</w:t>
      </w:r>
      <w:r w:rsidR="00B40E1F" w:rsidRPr="00423ADB">
        <w:rPr>
          <w:rFonts w:ascii="Arial" w:hAnsi="Arial" w:cs="Arial"/>
        </w:rPr>
        <w:t xml:space="preserve"> </w:t>
      </w:r>
      <w:r w:rsidR="00032834" w:rsidRPr="00423ADB">
        <w:rPr>
          <w:rFonts w:ascii="Arial" w:hAnsi="Arial" w:cs="Arial"/>
        </w:rPr>
        <w:t xml:space="preserve">písemné </w:t>
      </w:r>
      <w:hyperlink r:id="rId14" w:history="1">
        <w:r w:rsidR="00B40E1F" w:rsidRPr="00423ADB">
          <w:rPr>
            <w:rStyle w:val="Hypertextovodkaz"/>
            <w:rFonts w:ascii="Arial" w:hAnsi="Arial" w:cs="Arial"/>
            <w:color w:val="auto"/>
          </w:rPr>
          <w:t>vyjádření</w:t>
        </w:r>
      </w:hyperlink>
      <w:r w:rsidR="00B40E1F" w:rsidRPr="00423ADB">
        <w:rPr>
          <w:rFonts w:ascii="Arial" w:hAnsi="Arial" w:cs="Arial"/>
        </w:rPr>
        <w:t xml:space="preserve"> obdržel 4. dubna 2018.</w:t>
      </w:r>
      <w:r w:rsidR="003B7486" w:rsidRPr="00423ADB">
        <w:rPr>
          <w:rFonts w:ascii="Arial" w:hAnsi="Arial" w:cs="Arial"/>
        </w:rPr>
        <w:t xml:space="preserve"> Ve svém vyjádření ÚOHS doporučil doplnit tržní podíly operátorů podle výnosů. Vzhledem k tomu, že nejsou dostupné informace o vývoji výnosů v členění definovaných segmentů, ponechal Úřad své hodnocení vycházející z tržních podílů podle počtu poskytnutých služeb. Tržní podíly podle počtu služeb jsou vhodnou a dostatečnou alternativou pro hodnocení trhu a jeho struktury a jsou v souladu s postupy </w:t>
      </w:r>
      <w:r w:rsidR="003B7486" w:rsidRPr="00423ADB">
        <w:rPr>
          <w:rFonts w:ascii="Arial" w:hAnsi="Arial" w:cs="Arial"/>
        </w:rPr>
        <w:lastRenderedPageBreak/>
        <w:t xml:space="preserve">nastavenými EK pro hodnocení a analýzy relevantních trhů pro účely ex-ante regulace a podle Úřadu nevedou k rozdílným výsledkům hodnocení struktury trhu pro účely </w:t>
      </w:r>
      <w:r w:rsidR="008344FB" w:rsidRPr="00423ADB">
        <w:rPr>
          <w:rFonts w:ascii="Arial" w:hAnsi="Arial" w:cs="Arial"/>
        </w:rPr>
        <w:t>T3K mobilního trhu</w:t>
      </w:r>
      <w:r w:rsidR="003B7486" w:rsidRPr="00423ADB">
        <w:rPr>
          <w:rFonts w:ascii="Arial" w:hAnsi="Arial" w:cs="Arial"/>
        </w:rPr>
        <w:t>.</w:t>
      </w:r>
      <w:r w:rsidRPr="00423ADB">
        <w:rPr>
          <w:rFonts w:ascii="Arial" w:hAnsi="Arial" w:cs="Arial"/>
        </w:rPr>
        <w:t xml:space="preserve"> </w:t>
      </w:r>
    </w:p>
    <w:p w14:paraId="4A3005E5" w14:textId="49866A0F" w:rsidR="009B5210" w:rsidRPr="00423ADB" w:rsidRDefault="009B5210" w:rsidP="00D2113B">
      <w:pPr>
        <w:jc w:val="center"/>
        <w:rPr>
          <w:rFonts w:ascii="Arial" w:hAnsi="Arial" w:cs="Arial"/>
        </w:rPr>
      </w:pPr>
      <w:r w:rsidRPr="00423ADB">
        <w:rPr>
          <w:rFonts w:ascii="Arial" w:hAnsi="Arial" w:cs="Arial"/>
        </w:rPr>
        <w:t>****</w:t>
      </w:r>
    </w:p>
    <w:p w14:paraId="449FAC99" w14:textId="69AAEF26" w:rsidR="009B5210" w:rsidRPr="00423ADB" w:rsidRDefault="009B5210" w:rsidP="003F0551">
      <w:pPr>
        <w:spacing w:before="240" w:after="240"/>
        <w:ind w:firstLine="709"/>
        <w:jc w:val="both"/>
        <w:rPr>
          <w:rFonts w:ascii="Arial" w:hAnsi="Arial" w:cs="Arial"/>
        </w:rPr>
      </w:pPr>
      <w:r w:rsidRPr="00423ADB">
        <w:rPr>
          <w:rFonts w:ascii="Arial" w:hAnsi="Arial" w:cs="Arial"/>
        </w:rPr>
        <w:t xml:space="preserve">S ohledem na </w:t>
      </w:r>
      <w:r w:rsidR="00F35BED" w:rsidRPr="00423ADB">
        <w:rPr>
          <w:rFonts w:ascii="Arial" w:hAnsi="Arial" w:cs="Arial"/>
        </w:rPr>
        <w:t xml:space="preserve">delší časový odstup od provedení </w:t>
      </w:r>
      <w:r w:rsidR="008344FB" w:rsidRPr="00423ADB">
        <w:rPr>
          <w:rFonts w:ascii="Arial" w:hAnsi="Arial" w:cs="Arial"/>
        </w:rPr>
        <w:t>T3K mobilního trhu</w:t>
      </w:r>
      <w:r w:rsidR="00F35BED" w:rsidRPr="00423ADB">
        <w:rPr>
          <w:rFonts w:ascii="Arial" w:hAnsi="Arial" w:cs="Arial"/>
        </w:rPr>
        <w:t xml:space="preserve"> považuje Úřad za </w:t>
      </w:r>
      <w:r w:rsidR="003B7486" w:rsidRPr="00423ADB">
        <w:rPr>
          <w:rFonts w:ascii="Arial" w:hAnsi="Arial" w:cs="Arial"/>
        </w:rPr>
        <w:t>žádoucí zodpovědět</w:t>
      </w:r>
      <w:r w:rsidRPr="00423ADB">
        <w:rPr>
          <w:rFonts w:ascii="Arial" w:hAnsi="Arial" w:cs="Arial"/>
        </w:rPr>
        <w:t xml:space="preserve"> otázku, zda </w:t>
      </w:r>
      <w:r w:rsidR="003B7486" w:rsidRPr="00423ADB">
        <w:rPr>
          <w:rFonts w:ascii="Arial" w:hAnsi="Arial" w:cs="Arial"/>
        </w:rPr>
        <w:t xml:space="preserve">následný </w:t>
      </w:r>
      <w:r w:rsidRPr="00423ADB">
        <w:rPr>
          <w:rFonts w:ascii="Arial" w:hAnsi="Arial" w:cs="Arial"/>
        </w:rPr>
        <w:t>vývoj na trhu potvr</w:t>
      </w:r>
      <w:r w:rsidR="004A2FE1" w:rsidRPr="00423ADB">
        <w:rPr>
          <w:rFonts w:ascii="Arial" w:hAnsi="Arial" w:cs="Arial"/>
        </w:rPr>
        <w:t>zuje závěry Úřadu, k</w:t>
      </w:r>
      <w:r w:rsidR="00AE66A7" w:rsidRPr="00423ADB">
        <w:rPr>
          <w:rFonts w:ascii="Arial" w:hAnsi="Arial" w:cs="Arial"/>
        </w:rPr>
        <w:t xml:space="preserve"> nimž </w:t>
      </w:r>
      <w:r w:rsidR="004A2FE1" w:rsidRPr="00423ADB">
        <w:rPr>
          <w:rFonts w:ascii="Arial" w:hAnsi="Arial" w:cs="Arial"/>
        </w:rPr>
        <w:t>dospěl v </w:t>
      </w:r>
      <w:r w:rsidR="008344FB" w:rsidRPr="00423ADB">
        <w:rPr>
          <w:rFonts w:ascii="Arial" w:hAnsi="Arial" w:cs="Arial"/>
        </w:rPr>
        <w:t>T3K mobilního trhu</w:t>
      </w:r>
      <w:r w:rsidR="004A2FE1" w:rsidRPr="00423ADB">
        <w:rPr>
          <w:rFonts w:ascii="Arial" w:hAnsi="Arial" w:cs="Arial"/>
        </w:rPr>
        <w:t xml:space="preserve">. Za tímto účelem Úřad </w:t>
      </w:r>
      <w:r w:rsidR="00F35BED" w:rsidRPr="00423ADB">
        <w:rPr>
          <w:rFonts w:ascii="Arial" w:hAnsi="Arial" w:cs="Arial"/>
        </w:rPr>
        <w:t xml:space="preserve">prověřil </w:t>
      </w:r>
      <w:r w:rsidR="004A2FE1" w:rsidRPr="00423ADB">
        <w:rPr>
          <w:rFonts w:ascii="Arial" w:hAnsi="Arial" w:cs="Arial"/>
        </w:rPr>
        <w:t>aktualizov</w:t>
      </w:r>
      <w:r w:rsidR="00F35BED" w:rsidRPr="00423ADB">
        <w:rPr>
          <w:rFonts w:ascii="Arial" w:hAnsi="Arial" w:cs="Arial"/>
        </w:rPr>
        <w:t>ané</w:t>
      </w:r>
      <w:r w:rsidR="004A2FE1" w:rsidRPr="00423ADB">
        <w:rPr>
          <w:rFonts w:ascii="Arial" w:hAnsi="Arial" w:cs="Arial"/>
        </w:rPr>
        <w:t xml:space="preserve"> </w:t>
      </w:r>
      <w:r w:rsidR="003B7486" w:rsidRPr="00423ADB">
        <w:rPr>
          <w:rFonts w:ascii="Arial" w:hAnsi="Arial" w:cs="Arial"/>
        </w:rPr>
        <w:t xml:space="preserve">vybrané </w:t>
      </w:r>
      <w:r w:rsidR="004A2FE1" w:rsidRPr="00423ADB">
        <w:rPr>
          <w:rFonts w:ascii="Arial" w:hAnsi="Arial" w:cs="Arial"/>
        </w:rPr>
        <w:t>časové řady</w:t>
      </w:r>
      <w:r w:rsidR="003B7486" w:rsidRPr="00423ADB">
        <w:rPr>
          <w:rFonts w:ascii="Arial" w:hAnsi="Arial" w:cs="Arial"/>
        </w:rPr>
        <w:t>, zásadní pro hodnocení bariér vstupu na trh</w:t>
      </w:r>
      <w:r w:rsidR="0092192A" w:rsidRPr="00423ADB">
        <w:rPr>
          <w:rFonts w:ascii="Arial" w:hAnsi="Arial" w:cs="Arial"/>
        </w:rPr>
        <w:t xml:space="preserve"> a úrovně konkurence na zkoumaném trhu, a to</w:t>
      </w:r>
      <w:r w:rsidR="00C44D0B" w:rsidRPr="00423ADB">
        <w:rPr>
          <w:rFonts w:ascii="Arial" w:hAnsi="Arial" w:cs="Arial"/>
        </w:rPr>
        <w:t xml:space="preserve"> v grafech</w:t>
      </w:r>
      <w:r w:rsidR="0092192A" w:rsidRPr="00423ADB">
        <w:rPr>
          <w:rFonts w:ascii="Arial" w:hAnsi="Arial" w:cs="Arial"/>
        </w:rPr>
        <w:t xml:space="preserve"> (</w:t>
      </w:r>
      <w:r w:rsidR="009E078A" w:rsidRPr="00423ADB">
        <w:rPr>
          <w:rFonts w:ascii="Arial" w:hAnsi="Arial" w:cs="Arial"/>
        </w:rPr>
        <w:t>jež</w:t>
      </w:r>
      <w:r w:rsidR="004A2FE1" w:rsidRPr="00423ADB">
        <w:rPr>
          <w:rFonts w:ascii="Arial" w:hAnsi="Arial" w:cs="Arial"/>
        </w:rPr>
        <w:t xml:space="preserve"> vyhodnocoval v </w:t>
      </w:r>
      <w:r w:rsidR="008344FB" w:rsidRPr="00423ADB">
        <w:rPr>
          <w:rFonts w:ascii="Arial" w:hAnsi="Arial" w:cs="Arial"/>
        </w:rPr>
        <w:t>T3K mobilního trhu</w:t>
      </w:r>
      <w:r w:rsidR="0092192A" w:rsidRPr="00423ADB">
        <w:rPr>
          <w:rFonts w:ascii="Arial" w:hAnsi="Arial" w:cs="Arial"/>
        </w:rPr>
        <w:t>)</w:t>
      </w:r>
      <w:r w:rsidR="00A966DC" w:rsidRPr="00423ADB">
        <w:rPr>
          <w:rFonts w:ascii="Arial" w:hAnsi="Arial" w:cs="Arial"/>
        </w:rPr>
        <w:t xml:space="preserve"> v příloze tohoto OOP</w:t>
      </w:r>
      <w:r w:rsidR="004A2FE1" w:rsidRPr="00423ADB">
        <w:rPr>
          <w:rFonts w:ascii="Arial" w:hAnsi="Arial" w:cs="Arial"/>
        </w:rPr>
        <w:t>.</w:t>
      </w:r>
      <w:r w:rsidR="006417D3" w:rsidRPr="00423ADB">
        <w:rPr>
          <w:rFonts w:ascii="Arial" w:hAnsi="Arial" w:cs="Arial"/>
        </w:rPr>
        <w:t xml:space="preserve"> Na základě posouzení </w:t>
      </w:r>
      <w:r w:rsidR="0092192A" w:rsidRPr="00423ADB">
        <w:rPr>
          <w:rFonts w:ascii="Arial" w:hAnsi="Arial" w:cs="Arial"/>
        </w:rPr>
        <w:t xml:space="preserve">těchto </w:t>
      </w:r>
      <w:r w:rsidR="006417D3" w:rsidRPr="00423ADB">
        <w:rPr>
          <w:rFonts w:ascii="Arial" w:hAnsi="Arial" w:cs="Arial"/>
        </w:rPr>
        <w:t xml:space="preserve">aktualizovaných údajů Úřad konstatuje, že </w:t>
      </w:r>
      <w:r w:rsidR="00F35BED" w:rsidRPr="00423ADB">
        <w:rPr>
          <w:rFonts w:ascii="Arial" w:hAnsi="Arial" w:cs="Arial"/>
        </w:rPr>
        <w:t xml:space="preserve">i nadále </w:t>
      </w:r>
      <w:r w:rsidR="0092192A" w:rsidRPr="00423ADB">
        <w:rPr>
          <w:rFonts w:ascii="Arial" w:hAnsi="Arial" w:cs="Arial"/>
        </w:rPr>
        <w:t>potvrzují</w:t>
      </w:r>
      <w:r w:rsidR="006417D3" w:rsidRPr="00423ADB">
        <w:rPr>
          <w:rFonts w:ascii="Arial" w:hAnsi="Arial" w:cs="Arial"/>
        </w:rPr>
        <w:t xml:space="preserve"> </w:t>
      </w:r>
      <w:r w:rsidR="00067EA8" w:rsidRPr="00423ADB">
        <w:rPr>
          <w:rFonts w:ascii="Arial" w:hAnsi="Arial" w:cs="Arial"/>
        </w:rPr>
        <w:t xml:space="preserve">trendy a </w:t>
      </w:r>
      <w:r w:rsidR="006417D3" w:rsidRPr="00423ADB">
        <w:rPr>
          <w:rFonts w:ascii="Arial" w:hAnsi="Arial" w:cs="Arial"/>
        </w:rPr>
        <w:t xml:space="preserve">závěry učiněné při hodnocení tří kritérií v rámci </w:t>
      </w:r>
      <w:r w:rsidR="008344FB" w:rsidRPr="00423ADB">
        <w:rPr>
          <w:rFonts w:ascii="Arial" w:hAnsi="Arial" w:cs="Arial"/>
        </w:rPr>
        <w:t>T3K mobilního trhu</w:t>
      </w:r>
      <w:r w:rsidR="0057377B" w:rsidRPr="00423ADB">
        <w:rPr>
          <w:rFonts w:ascii="Arial" w:hAnsi="Arial" w:cs="Arial"/>
        </w:rPr>
        <w:t>.</w:t>
      </w:r>
      <w:r w:rsidR="006417D3" w:rsidRPr="00423ADB">
        <w:rPr>
          <w:rFonts w:ascii="Arial" w:hAnsi="Arial" w:cs="Arial"/>
        </w:rPr>
        <w:t xml:space="preserve"> </w:t>
      </w:r>
      <w:r w:rsidR="0057377B" w:rsidRPr="00423ADB">
        <w:rPr>
          <w:rFonts w:ascii="Arial" w:hAnsi="Arial" w:cs="Arial"/>
        </w:rPr>
        <w:t xml:space="preserve">Tyto závěry </w:t>
      </w:r>
      <w:r w:rsidR="00753281" w:rsidRPr="00423ADB">
        <w:rPr>
          <w:rFonts w:ascii="Arial" w:hAnsi="Arial" w:cs="Arial"/>
        </w:rPr>
        <w:t xml:space="preserve">T3K mobilního trhu </w:t>
      </w:r>
      <w:r w:rsidR="006417D3" w:rsidRPr="00423ADB">
        <w:rPr>
          <w:rFonts w:ascii="Arial" w:hAnsi="Arial" w:cs="Arial"/>
        </w:rPr>
        <w:t>tak dle Úřadu zůstávají i nadále platné.</w:t>
      </w:r>
    </w:p>
    <w:p w14:paraId="666C3A32" w14:textId="6101716B" w:rsidR="002D1000" w:rsidRPr="00423ADB" w:rsidRDefault="002D1000" w:rsidP="00A50BFD">
      <w:pPr>
        <w:jc w:val="center"/>
        <w:rPr>
          <w:rFonts w:ascii="Arial" w:hAnsi="Arial" w:cs="Arial"/>
        </w:rPr>
      </w:pPr>
      <w:r w:rsidRPr="00423ADB">
        <w:rPr>
          <w:rFonts w:ascii="Arial" w:hAnsi="Arial" w:cs="Arial"/>
        </w:rPr>
        <w:t>****</w:t>
      </w:r>
    </w:p>
    <w:p w14:paraId="0092C05D" w14:textId="5AE5F1DA" w:rsidR="00985A53" w:rsidRPr="00423ADB" w:rsidRDefault="00985A53" w:rsidP="00AB5F81">
      <w:pPr>
        <w:keepNext/>
        <w:jc w:val="both"/>
        <w:rPr>
          <w:rFonts w:ascii="Arial" w:hAnsi="Arial" w:cs="Arial"/>
          <w:b/>
        </w:rPr>
      </w:pPr>
      <w:r w:rsidRPr="00423ADB">
        <w:rPr>
          <w:rFonts w:ascii="Arial" w:hAnsi="Arial" w:cs="Arial"/>
          <w:b/>
        </w:rPr>
        <w:t xml:space="preserve">Konzultace </w:t>
      </w:r>
      <w:r w:rsidR="00016ACF" w:rsidRPr="00423ADB">
        <w:rPr>
          <w:rFonts w:ascii="Arial" w:hAnsi="Arial" w:cs="Arial"/>
          <w:b/>
        </w:rPr>
        <w:t xml:space="preserve">výsledků T3K mobilního trhu </w:t>
      </w:r>
      <w:r w:rsidRPr="00423ADB">
        <w:rPr>
          <w:rFonts w:ascii="Arial" w:hAnsi="Arial" w:cs="Arial"/>
          <w:b/>
        </w:rPr>
        <w:t>s Evropskou komisí</w:t>
      </w:r>
    </w:p>
    <w:p w14:paraId="4892AF9F" w14:textId="690CAD09" w:rsidR="00FF08D9" w:rsidRPr="00423ADB" w:rsidRDefault="00985A53" w:rsidP="00AB5F81">
      <w:pPr>
        <w:keepNext/>
        <w:ind w:firstLine="708"/>
        <w:jc w:val="both"/>
        <w:rPr>
          <w:rFonts w:ascii="Arial" w:hAnsi="Arial" w:cs="Arial"/>
        </w:rPr>
      </w:pPr>
      <w:r w:rsidRPr="00423ADB">
        <w:rPr>
          <w:rFonts w:ascii="Arial" w:hAnsi="Arial" w:cs="Arial"/>
        </w:rPr>
        <w:t xml:space="preserve">Úřad </w:t>
      </w:r>
      <w:r w:rsidR="008344FB" w:rsidRPr="00423ADB">
        <w:rPr>
          <w:rFonts w:ascii="Arial" w:hAnsi="Arial" w:cs="Arial"/>
        </w:rPr>
        <w:t>T3K mobilního trhu</w:t>
      </w:r>
      <w:r w:rsidRPr="00423ADB">
        <w:rPr>
          <w:rFonts w:ascii="Arial" w:hAnsi="Arial" w:cs="Arial"/>
        </w:rPr>
        <w:t xml:space="preserve"> konzultoval rovněž s Evropskou komisí, k</w:t>
      </w:r>
      <w:r w:rsidR="00CA52A8" w:rsidRPr="00423ADB">
        <w:rPr>
          <w:rFonts w:ascii="Arial" w:hAnsi="Arial" w:cs="Arial"/>
        </w:rPr>
        <w:t>teré</w:t>
      </w:r>
      <w:r w:rsidRPr="00423ADB">
        <w:rPr>
          <w:rFonts w:ascii="Arial" w:hAnsi="Arial" w:cs="Arial"/>
        </w:rPr>
        <w:t xml:space="preserve"> 21. června 2019 zaslal oznámení</w:t>
      </w:r>
      <w:r w:rsidRPr="00423ADB">
        <w:rPr>
          <w:rStyle w:val="Znakapoznpodarou"/>
          <w:rFonts w:ascii="Arial" w:hAnsi="Arial" w:cs="Arial"/>
        </w:rPr>
        <w:footnoteReference w:id="6"/>
      </w:r>
      <w:r w:rsidRPr="00423ADB">
        <w:rPr>
          <w:rFonts w:ascii="Arial" w:hAnsi="Arial" w:cs="Arial"/>
        </w:rPr>
        <w:t xml:space="preserve">, obsahující </w:t>
      </w:r>
      <w:r w:rsidR="008344FB" w:rsidRPr="00423ADB">
        <w:rPr>
          <w:rFonts w:ascii="Arial" w:hAnsi="Arial" w:cs="Arial"/>
        </w:rPr>
        <w:t>T3K mobilního trhu</w:t>
      </w:r>
      <w:r w:rsidRPr="00423ADB">
        <w:rPr>
          <w:rFonts w:ascii="Arial" w:hAnsi="Arial" w:cs="Arial"/>
        </w:rPr>
        <w:t xml:space="preserve"> a veškeré související dokumenty, o svém záměru ustanovit v České republice nový relevantní trh – velkoobchodní trh přístupu k mobilním službám. </w:t>
      </w:r>
    </w:p>
    <w:p w14:paraId="18EA5A33" w14:textId="59332FBE" w:rsidR="00985A53" w:rsidRPr="00423ADB" w:rsidRDefault="00814512" w:rsidP="00AB5F81">
      <w:pPr>
        <w:keepNext/>
        <w:ind w:firstLine="708"/>
        <w:jc w:val="both"/>
        <w:rPr>
          <w:rFonts w:ascii="Arial" w:hAnsi="Arial" w:cs="Arial"/>
        </w:rPr>
      </w:pPr>
      <w:r w:rsidRPr="00423ADB">
        <w:rPr>
          <w:rFonts w:ascii="Arial" w:hAnsi="Arial" w:cs="Arial"/>
        </w:rPr>
        <w:t>V rámci konzul</w:t>
      </w:r>
      <w:r w:rsidR="00E93367" w:rsidRPr="00423ADB">
        <w:rPr>
          <w:rFonts w:ascii="Arial" w:hAnsi="Arial" w:cs="Arial"/>
        </w:rPr>
        <w:t xml:space="preserve">tace </w:t>
      </w:r>
      <w:r w:rsidR="00985A53" w:rsidRPr="00423ADB">
        <w:rPr>
          <w:rFonts w:ascii="Arial" w:hAnsi="Arial" w:cs="Arial"/>
        </w:rPr>
        <w:t xml:space="preserve">EK zaslala Úřadu k oznámenému </w:t>
      </w:r>
      <w:r w:rsidR="008344FB" w:rsidRPr="00423ADB">
        <w:rPr>
          <w:rFonts w:ascii="Arial" w:hAnsi="Arial" w:cs="Arial"/>
        </w:rPr>
        <w:t>T3K mobilního trhu</w:t>
      </w:r>
      <w:r w:rsidR="00985A53" w:rsidRPr="00423ADB">
        <w:rPr>
          <w:rFonts w:ascii="Arial" w:hAnsi="Arial" w:cs="Arial"/>
        </w:rPr>
        <w:t xml:space="preserve"> ve dvou kolech doplňující dotazy</w:t>
      </w:r>
      <w:r w:rsidR="0017698E" w:rsidRPr="00423ADB">
        <w:rPr>
          <w:rStyle w:val="Znakapoznpodarou"/>
          <w:rFonts w:ascii="Arial" w:hAnsi="Arial" w:cs="Arial"/>
        </w:rPr>
        <w:footnoteReference w:id="7"/>
      </w:r>
      <w:r w:rsidR="00985A53" w:rsidRPr="00423ADB">
        <w:rPr>
          <w:rFonts w:ascii="Arial" w:hAnsi="Arial" w:cs="Arial"/>
        </w:rPr>
        <w:t xml:space="preserve">, na které Úřad ve stanovených termínech zaslal své odpovědi s požadovanými doplňujícími informacemi. Úřad poté dne 22. července 2019 obdržel ke svému oznámení </w:t>
      </w:r>
      <w:hyperlink r:id="rId15" w:history="1">
        <w:r w:rsidR="009270FB" w:rsidRPr="00423ADB">
          <w:rPr>
            <w:rStyle w:val="Hypertextovodkaz"/>
            <w:rFonts w:ascii="Arial" w:hAnsi="Arial" w:cs="Arial"/>
            <w:color w:val="auto"/>
          </w:rPr>
          <w:t>rozhodnutí</w:t>
        </w:r>
      </w:hyperlink>
      <w:r w:rsidR="009270FB" w:rsidRPr="00423ADB">
        <w:rPr>
          <w:rFonts w:ascii="Arial" w:hAnsi="Arial" w:cs="Arial"/>
        </w:rPr>
        <w:t xml:space="preserve"> </w:t>
      </w:r>
      <w:r w:rsidR="00985A53" w:rsidRPr="00423ADB">
        <w:rPr>
          <w:rFonts w:ascii="Arial" w:hAnsi="Arial" w:cs="Arial"/>
        </w:rPr>
        <w:t>od EK</w:t>
      </w:r>
      <w:r w:rsidR="00985A53" w:rsidRPr="00423ADB">
        <w:rPr>
          <w:rStyle w:val="Znakapoznpodarou"/>
          <w:rFonts w:ascii="Arial" w:hAnsi="Arial" w:cs="Arial"/>
        </w:rPr>
        <w:footnoteReference w:id="8"/>
      </w:r>
      <w:r w:rsidR="00985A53" w:rsidRPr="00423ADB">
        <w:rPr>
          <w:rFonts w:ascii="Arial" w:hAnsi="Arial" w:cs="Arial"/>
        </w:rPr>
        <w:t xml:space="preserve">. Přestože EK v rámci svého rozhodnutí vznesla připomínky k záměru Úřadu ustanovit nový relevantní trh, současně konstatovala, že samotný </w:t>
      </w:r>
      <w:r w:rsidR="008344FB" w:rsidRPr="00423ADB">
        <w:rPr>
          <w:rFonts w:ascii="Arial" w:hAnsi="Arial" w:cs="Arial"/>
        </w:rPr>
        <w:t>T3K mobilního trhu</w:t>
      </w:r>
      <w:r w:rsidR="00985A53" w:rsidRPr="00423ADB">
        <w:rPr>
          <w:rFonts w:ascii="Arial" w:hAnsi="Arial" w:cs="Arial"/>
        </w:rPr>
        <w:t xml:space="preserve"> (bez příslušné analýzy relevantního trhu) dle EK nespadá do oblasti působnosti čl. 7 odst. 4 rámcové směrnice podle stávajícího regulačního rámce. EK tudíž nebyla zmocněna vznést k danému oznámení vážné pochybnosti</w:t>
      </w:r>
      <w:r w:rsidR="00985A53" w:rsidRPr="00423ADB">
        <w:rPr>
          <w:rStyle w:val="Znakapoznpodarou"/>
          <w:rFonts w:ascii="Arial" w:hAnsi="Arial" w:cs="Arial"/>
        </w:rPr>
        <w:footnoteReference w:id="9"/>
      </w:r>
      <w:r w:rsidR="00985A53" w:rsidRPr="00423ADB">
        <w:rPr>
          <w:rFonts w:ascii="Arial" w:hAnsi="Arial" w:cs="Arial"/>
        </w:rPr>
        <w:t xml:space="preserve"> a ponechala Úřadu právo přijmout, po zohlednění připomínek EK, konečný návrh opatření, kterým Úřad v České republice hodlá ustanovit nový relevantní trh</w:t>
      </w:r>
      <w:r w:rsidR="009270FB" w:rsidRPr="00423ADB">
        <w:rPr>
          <w:rFonts w:ascii="Arial" w:hAnsi="Arial" w:cs="Arial"/>
        </w:rPr>
        <w:t xml:space="preserve"> nad rámec relevantních trhů vymezených v Doporučení 2014/710/EU, a to </w:t>
      </w:r>
      <w:r w:rsidR="00985A53" w:rsidRPr="00423ADB">
        <w:rPr>
          <w:rFonts w:ascii="Arial" w:hAnsi="Arial" w:cs="Arial"/>
        </w:rPr>
        <w:t>velkoobchodní trh přístupu k mobilním službám.</w:t>
      </w:r>
    </w:p>
    <w:p w14:paraId="34C4B68E" w14:textId="286C2968" w:rsidR="00CA52A8" w:rsidRPr="00423ADB" w:rsidRDefault="00985A53" w:rsidP="00985A53">
      <w:pPr>
        <w:jc w:val="both"/>
        <w:rPr>
          <w:rFonts w:ascii="Arial" w:hAnsi="Arial" w:cs="Arial"/>
        </w:rPr>
      </w:pPr>
      <w:r w:rsidRPr="00423ADB">
        <w:rPr>
          <w:rFonts w:ascii="Arial" w:hAnsi="Arial" w:cs="Arial"/>
        </w:rPr>
        <w:tab/>
        <w:t xml:space="preserve">Vznesené připomínky ze strany EK se týkaly pochybností EK, zda byla kumulativně splněna všechna tři kritéria, která jsou v rámci </w:t>
      </w:r>
      <w:r w:rsidR="008344FB" w:rsidRPr="00423ADB">
        <w:rPr>
          <w:rFonts w:ascii="Arial" w:hAnsi="Arial" w:cs="Arial"/>
        </w:rPr>
        <w:t xml:space="preserve">T3K </w:t>
      </w:r>
      <w:r w:rsidR="004674B3" w:rsidRPr="00423ADB">
        <w:rPr>
          <w:rFonts w:ascii="Arial" w:hAnsi="Arial" w:cs="Arial"/>
        </w:rPr>
        <w:t>(</w:t>
      </w:r>
      <w:r w:rsidR="008344FB" w:rsidRPr="00423ADB">
        <w:rPr>
          <w:rFonts w:ascii="Arial" w:hAnsi="Arial" w:cs="Arial"/>
        </w:rPr>
        <w:t>mobilního trhu</w:t>
      </w:r>
      <w:r w:rsidR="004674B3" w:rsidRPr="00423ADB">
        <w:rPr>
          <w:rFonts w:ascii="Arial" w:hAnsi="Arial" w:cs="Arial"/>
        </w:rPr>
        <w:t>)</w:t>
      </w:r>
      <w:r w:rsidRPr="00423ADB">
        <w:rPr>
          <w:rFonts w:ascii="Arial" w:hAnsi="Arial" w:cs="Arial"/>
        </w:rPr>
        <w:t xml:space="preserve"> vyhodnocována. Zejména se jednalo o připomínky k prvnímu</w:t>
      </w:r>
      <w:r w:rsidRPr="00423ADB">
        <w:rPr>
          <w:rStyle w:val="Znakapoznpodarou"/>
          <w:rFonts w:ascii="Arial" w:hAnsi="Arial" w:cs="Arial"/>
        </w:rPr>
        <w:footnoteReference w:id="10"/>
      </w:r>
      <w:r w:rsidRPr="00423ADB">
        <w:rPr>
          <w:rFonts w:ascii="Arial" w:hAnsi="Arial" w:cs="Arial"/>
        </w:rPr>
        <w:t xml:space="preserve"> a druhému</w:t>
      </w:r>
      <w:r w:rsidRPr="00423ADB">
        <w:rPr>
          <w:rStyle w:val="Znakapoznpodarou"/>
          <w:rFonts w:ascii="Arial" w:hAnsi="Arial" w:cs="Arial"/>
        </w:rPr>
        <w:footnoteReference w:id="11"/>
      </w:r>
      <w:r w:rsidRPr="00423ADB">
        <w:rPr>
          <w:rFonts w:ascii="Arial" w:hAnsi="Arial" w:cs="Arial"/>
        </w:rPr>
        <w:t xml:space="preserve"> kritériu. Z pohledu EK Úřad neprokázal, že jeho dosavadní závěry naznačují větší překážky vstupu na trh pro MVNO nebo menší směřování k účinné hospodářské soutěži na velkoobchodním trhu. </w:t>
      </w:r>
    </w:p>
    <w:p w14:paraId="106757D9" w14:textId="77777777" w:rsidR="00CA52A8" w:rsidRPr="00423ADB" w:rsidRDefault="00985A53" w:rsidP="00CA52A8">
      <w:pPr>
        <w:ind w:firstLine="708"/>
        <w:jc w:val="both"/>
        <w:rPr>
          <w:rFonts w:ascii="Arial" w:hAnsi="Arial" w:cs="Arial"/>
        </w:rPr>
      </w:pPr>
      <w:r w:rsidRPr="00423ADB">
        <w:rPr>
          <w:rFonts w:ascii="Arial" w:hAnsi="Arial" w:cs="Arial"/>
        </w:rPr>
        <w:lastRenderedPageBreak/>
        <w:t>V případě prvního kritéria, EK akcentoval</w:t>
      </w:r>
      <w:r w:rsidR="0048446C" w:rsidRPr="00423ADB">
        <w:rPr>
          <w:rFonts w:ascii="Arial" w:hAnsi="Arial" w:cs="Arial"/>
        </w:rPr>
        <w:t>a</w:t>
      </w:r>
      <w:r w:rsidRPr="00423ADB">
        <w:rPr>
          <w:rFonts w:ascii="Arial" w:hAnsi="Arial" w:cs="Arial"/>
        </w:rPr>
        <w:t xml:space="preserve"> zejména otázku vstupu pro MVNO, jichž je na trhu přítomno velké množství a jejichž vstup je stále možný. </w:t>
      </w:r>
    </w:p>
    <w:p w14:paraId="342B7AE5" w14:textId="28E21161" w:rsidR="00CA52A8" w:rsidRPr="00423ADB" w:rsidRDefault="00985A53" w:rsidP="00CA52A8">
      <w:pPr>
        <w:ind w:firstLine="708"/>
        <w:jc w:val="both"/>
        <w:rPr>
          <w:rFonts w:ascii="Arial" w:hAnsi="Arial" w:cs="Arial"/>
        </w:rPr>
      </w:pPr>
      <w:r w:rsidRPr="00423ADB">
        <w:rPr>
          <w:rFonts w:ascii="Arial" w:hAnsi="Arial" w:cs="Arial"/>
        </w:rPr>
        <w:t xml:space="preserve">K tomuto pohledu však </w:t>
      </w:r>
      <w:r w:rsidR="00824126" w:rsidRPr="00423ADB">
        <w:rPr>
          <w:rFonts w:ascii="Arial" w:hAnsi="Arial" w:cs="Arial"/>
        </w:rPr>
        <w:t xml:space="preserve">i nadále </w:t>
      </w:r>
      <w:r w:rsidRPr="00423ADB">
        <w:rPr>
          <w:rFonts w:ascii="Arial" w:hAnsi="Arial" w:cs="Arial"/>
        </w:rPr>
        <w:t xml:space="preserve">Úřad zastává stanovisko, že MVNO sice na trhu působí, ale jejich </w:t>
      </w:r>
      <w:r w:rsidR="00824126" w:rsidRPr="00423ADB">
        <w:rPr>
          <w:rFonts w:ascii="Arial" w:hAnsi="Arial" w:cs="Arial"/>
        </w:rPr>
        <w:t xml:space="preserve">schopnost zvýšit </w:t>
      </w:r>
      <w:r w:rsidRPr="00423ADB">
        <w:rPr>
          <w:rFonts w:ascii="Arial" w:hAnsi="Arial" w:cs="Arial"/>
        </w:rPr>
        <w:t>úrov</w:t>
      </w:r>
      <w:r w:rsidR="00824126" w:rsidRPr="00423ADB">
        <w:rPr>
          <w:rFonts w:ascii="Arial" w:hAnsi="Arial" w:cs="Arial"/>
        </w:rPr>
        <w:t>eň</w:t>
      </w:r>
      <w:r w:rsidRPr="00423ADB">
        <w:rPr>
          <w:rFonts w:ascii="Arial" w:hAnsi="Arial" w:cs="Arial"/>
        </w:rPr>
        <w:t xml:space="preserve"> hospodářské soutěže</w:t>
      </w:r>
      <w:r w:rsidR="00250A7F" w:rsidRPr="00423ADB">
        <w:rPr>
          <w:rFonts w:ascii="Arial" w:hAnsi="Arial" w:cs="Arial"/>
        </w:rPr>
        <w:t xml:space="preserve"> je </w:t>
      </w:r>
      <w:r w:rsidR="00824126" w:rsidRPr="00423ADB">
        <w:rPr>
          <w:rFonts w:ascii="Arial" w:hAnsi="Arial" w:cs="Arial"/>
        </w:rPr>
        <w:t xml:space="preserve">fakticky </w:t>
      </w:r>
      <w:r w:rsidR="00250A7F" w:rsidRPr="00423ADB">
        <w:rPr>
          <w:rFonts w:ascii="Arial" w:hAnsi="Arial" w:cs="Arial"/>
        </w:rPr>
        <w:t>zanedbateln</w:t>
      </w:r>
      <w:r w:rsidR="00824126" w:rsidRPr="00423ADB">
        <w:rPr>
          <w:rFonts w:ascii="Arial" w:hAnsi="Arial" w:cs="Arial"/>
        </w:rPr>
        <w:t xml:space="preserve">á. Důvodem je především </w:t>
      </w:r>
      <w:r w:rsidRPr="00423ADB">
        <w:rPr>
          <w:rFonts w:ascii="Arial" w:hAnsi="Arial" w:cs="Arial"/>
        </w:rPr>
        <w:t>jejich velkoobchodní závislost na MNO</w:t>
      </w:r>
      <w:r w:rsidR="0076380A" w:rsidRPr="00423ADB">
        <w:rPr>
          <w:rFonts w:ascii="Arial" w:hAnsi="Arial" w:cs="Arial"/>
        </w:rPr>
        <w:t xml:space="preserve"> </w:t>
      </w:r>
      <w:r w:rsidR="00250A7F" w:rsidRPr="00423ADB">
        <w:rPr>
          <w:rFonts w:ascii="Arial" w:hAnsi="Arial" w:cs="Arial"/>
        </w:rPr>
        <w:t xml:space="preserve">– </w:t>
      </w:r>
      <w:r w:rsidR="00322BB8" w:rsidRPr="00423ADB">
        <w:rPr>
          <w:rFonts w:ascii="Arial" w:hAnsi="Arial" w:cs="Arial"/>
        </w:rPr>
        <w:t>z</w:t>
      </w:r>
      <w:r w:rsidR="00250A7F" w:rsidRPr="00423ADB">
        <w:rPr>
          <w:rFonts w:ascii="Arial" w:hAnsi="Arial" w:cs="Arial"/>
        </w:rPr>
        <w:t> </w:t>
      </w:r>
      <w:r w:rsidR="00322BB8" w:rsidRPr="00423ADB">
        <w:rPr>
          <w:rFonts w:ascii="Arial" w:hAnsi="Arial" w:cs="Arial"/>
        </w:rPr>
        <w:t xml:space="preserve">hlediska stávajícího </w:t>
      </w:r>
      <w:r w:rsidR="0076380A" w:rsidRPr="00423ADB">
        <w:rPr>
          <w:rFonts w:ascii="Arial" w:hAnsi="Arial" w:cs="Arial"/>
        </w:rPr>
        <w:t xml:space="preserve">nastavení podmínek komerčních smluv </w:t>
      </w:r>
      <w:r w:rsidR="00322BB8" w:rsidRPr="00423ADB">
        <w:rPr>
          <w:rFonts w:ascii="Arial" w:hAnsi="Arial" w:cs="Arial"/>
        </w:rPr>
        <w:t>uzavřený</w:t>
      </w:r>
      <w:r w:rsidR="00250A7F" w:rsidRPr="00423ADB">
        <w:rPr>
          <w:rFonts w:ascii="Arial" w:hAnsi="Arial" w:cs="Arial"/>
        </w:rPr>
        <w:t>ch</w:t>
      </w:r>
      <w:r w:rsidR="00322BB8" w:rsidRPr="00423ADB">
        <w:rPr>
          <w:rFonts w:ascii="Arial" w:hAnsi="Arial" w:cs="Arial"/>
        </w:rPr>
        <w:t xml:space="preserve"> mezi MNO a </w:t>
      </w:r>
      <w:r w:rsidR="0076380A" w:rsidRPr="00423ADB">
        <w:rPr>
          <w:rFonts w:ascii="Arial" w:hAnsi="Arial" w:cs="Arial"/>
        </w:rPr>
        <w:t>MVNO</w:t>
      </w:r>
      <w:r w:rsidR="00250A7F" w:rsidRPr="00423ADB">
        <w:rPr>
          <w:rFonts w:ascii="Arial" w:hAnsi="Arial" w:cs="Arial"/>
        </w:rPr>
        <w:t>,</w:t>
      </w:r>
      <w:r w:rsidRPr="00423ADB">
        <w:rPr>
          <w:rFonts w:ascii="Arial" w:hAnsi="Arial" w:cs="Arial"/>
        </w:rPr>
        <w:t xml:space="preserve"> </w:t>
      </w:r>
      <w:r w:rsidR="000C37DE" w:rsidRPr="00423ADB">
        <w:rPr>
          <w:rFonts w:ascii="Arial" w:hAnsi="Arial" w:cs="Arial"/>
        </w:rPr>
        <w:t>které</w:t>
      </w:r>
      <w:r w:rsidR="00250A7F" w:rsidRPr="00423ADB">
        <w:rPr>
          <w:rFonts w:ascii="Arial" w:hAnsi="Arial" w:cs="Arial"/>
        </w:rPr>
        <w:t xml:space="preserve"> </w:t>
      </w:r>
      <w:r w:rsidR="005734D8" w:rsidRPr="00423ADB">
        <w:rPr>
          <w:rFonts w:ascii="Arial" w:hAnsi="Arial" w:cs="Arial"/>
        </w:rPr>
        <w:t>virtuálním operátorům</w:t>
      </w:r>
      <w:r w:rsidR="00250A7F" w:rsidRPr="00423ADB">
        <w:rPr>
          <w:rFonts w:ascii="Arial" w:hAnsi="Arial" w:cs="Arial"/>
        </w:rPr>
        <w:t xml:space="preserve"> neumožňuje působit a rozvíjet se na trhu tak, aby mohli reagovat na vývoj trhu a</w:t>
      </w:r>
      <w:r w:rsidR="00631D68" w:rsidRPr="00423ADB">
        <w:rPr>
          <w:rFonts w:ascii="Arial" w:hAnsi="Arial" w:cs="Arial"/>
        </w:rPr>
        <w:t xml:space="preserve"> maloobchodní</w:t>
      </w:r>
      <w:r w:rsidR="00250A7F" w:rsidRPr="00423ADB">
        <w:rPr>
          <w:rFonts w:ascii="Arial" w:hAnsi="Arial" w:cs="Arial"/>
        </w:rPr>
        <w:t xml:space="preserve"> nabídky MNO</w:t>
      </w:r>
      <w:r w:rsidRPr="00423ADB">
        <w:rPr>
          <w:rFonts w:ascii="Arial" w:hAnsi="Arial" w:cs="Arial"/>
        </w:rPr>
        <w:t xml:space="preserve">. Rovněž tržní podíl všech MVNO podle celkového počtu SIM karet se trvale pohybuje </w:t>
      </w:r>
      <w:r w:rsidR="00824126" w:rsidRPr="00423ADB">
        <w:rPr>
          <w:rFonts w:ascii="Arial" w:hAnsi="Arial" w:cs="Arial"/>
        </w:rPr>
        <w:t xml:space="preserve">v souhrnu </w:t>
      </w:r>
      <w:r w:rsidRPr="00423ADB">
        <w:rPr>
          <w:rFonts w:ascii="Arial" w:hAnsi="Arial" w:cs="Arial"/>
        </w:rPr>
        <w:t xml:space="preserve">na hodnotě okolo 7 % a prakticky již neroste, stejně tak u </w:t>
      </w:r>
      <w:r w:rsidR="00824126" w:rsidRPr="00423ADB">
        <w:rPr>
          <w:rFonts w:ascii="Arial" w:hAnsi="Arial" w:cs="Arial"/>
        </w:rPr>
        <w:t xml:space="preserve">majetkově </w:t>
      </w:r>
      <w:r w:rsidRPr="00423ADB">
        <w:rPr>
          <w:rFonts w:ascii="Arial" w:hAnsi="Arial" w:cs="Arial"/>
        </w:rPr>
        <w:t xml:space="preserve">nezávislých MVNO se jejich tržní podíl pohybuje na hodnotě okolo 3 % a rovněž již neroste. Tržní podíl nezávislých MVNO a jejich možný vliv na trh tak lze považovat za velmi omezený. Z pohledu Úřadu tak pro posouzení úrovně hospodářské soutěže není klíčový pouhý počet subjektů z řad MVNO na trhu či pouze formální možnost vstupu takových subjektů na trh, nýbrž jejich </w:t>
      </w:r>
      <w:r w:rsidR="009270FB" w:rsidRPr="00423ADB">
        <w:rPr>
          <w:rFonts w:ascii="Arial" w:hAnsi="Arial" w:cs="Arial"/>
        </w:rPr>
        <w:t xml:space="preserve">možnost se rozvíjet a jejich </w:t>
      </w:r>
      <w:r w:rsidRPr="00423ADB">
        <w:rPr>
          <w:rFonts w:ascii="Arial" w:hAnsi="Arial" w:cs="Arial"/>
        </w:rPr>
        <w:t xml:space="preserve">reálný vliv na úroveň konkurenčního prostředí. </w:t>
      </w:r>
    </w:p>
    <w:p w14:paraId="0DD08FB9" w14:textId="77777777" w:rsidR="00CA52A8" w:rsidRPr="00423ADB" w:rsidRDefault="00985A53" w:rsidP="00CA52A8">
      <w:pPr>
        <w:ind w:firstLine="708"/>
        <w:jc w:val="both"/>
        <w:rPr>
          <w:rFonts w:ascii="Arial" w:hAnsi="Arial" w:cs="Arial"/>
        </w:rPr>
      </w:pPr>
      <w:r w:rsidRPr="00423ADB">
        <w:rPr>
          <w:rFonts w:ascii="Arial" w:hAnsi="Arial" w:cs="Arial"/>
        </w:rPr>
        <w:t xml:space="preserve">Zmíněný tržní podíl MVNO se dotýká i druhého kritéria, kdy EK argumentuje, že MVNO od vstupu na trh v roce 2013 zvýšili svůj celkový tržní podíl na 7,7 %. </w:t>
      </w:r>
    </w:p>
    <w:p w14:paraId="1AE7833E" w14:textId="39C76DC8" w:rsidR="00CA52A8" w:rsidRPr="00423ADB" w:rsidRDefault="00985A53" w:rsidP="00CA52A8">
      <w:pPr>
        <w:ind w:firstLine="708"/>
        <w:jc w:val="both"/>
        <w:rPr>
          <w:rFonts w:ascii="Arial" w:hAnsi="Arial" w:cs="Arial"/>
        </w:rPr>
      </w:pPr>
      <w:r w:rsidRPr="00423ADB">
        <w:rPr>
          <w:rFonts w:ascii="Arial" w:hAnsi="Arial" w:cs="Arial"/>
        </w:rPr>
        <w:t>K tomuto číslu však Úřad uvádí, že</w:t>
      </w:r>
      <w:r w:rsidR="00CA52A8" w:rsidRPr="00423ADB">
        <w:rPr>
          <w:rFonts w:ascii="Arial" w:hAnsi="Arial" w:cs="Arial"/>
        </w:rPr>
        <w:t xml:space="preserve"> se</w:t>
      </w:r>
      <w:r w:rsidRPr="00423ADB">
        <w:rPr>
          <w:rFonts w:ascii="Arial" w:hAnsi="Arial" w:cs="Arial"/>
        </w:rPr>
        <w:t xml:space="preserve"> jedná o hodnotu týkající se pouze segmentu A, neboť v segmentu B dosahují MVNO jen 1,1 %. Celkový tržní podíl MVNO podle celkového počtu SIM karet činil ke konci roku 2018 jen 6,7 %, a jak Úřad uvádí výše, již prakticky neroste. Očekávání, že by vliv MVNO v budoucnu dále sílil a zvyšoval tlak na MNO, a tím i na úroveň hospodářské soutěže, a tedy, že by díky MVNO trh směřoval k účinné hospodářské soutěži, je dle hodnocení Úřadu velmi nepravděpodobné, jak ukazuje již dosavadní vývoj a v </w:t>
      </w:r>
      <w:r w:rsidR="008344FB" w:rsidRPr="00423ADB">
        <w:rPr>
          <w:rFonts w:ascii="Arial" w:hAnsi="Arial" w:cs="Arial"/>
        </w:rPr>
        <w:t>T3K mobilního trhu</w:t>
      </w:r>
      <w:r w:rsidRPr="00423ADB">
        <w:rPr>
          <w:rFonts w:ascii="Arial" w:hAnsi="Arial" w:cs="Arial"/>
        </w:rPr>
        <w:t xml:space="preserve"> identifikované překážky rozvoje MVNO, zejména s ohledem na dostupné podmínky velkoobchodních smluv vč. uplatňovaných cen. </w:t>
      </w:r>
    </w:p>
    <w:p w14:paraId="01E40884" w14:textId="77777777" w:rsidR="00CA52A8" w:rsidRPr="00423ADB" w:rsidRDefault="00985A53" w:rsidP="00CA52A8">
      <w:pPr>
        <w:ind w:firstLine="708"/>
        <w:jc w:val="both"/>
        <w:rPr>
          <w:rFonts w:ascii="Arial" w:hAnsi="Arial" w:cs="Arial"/>
        </w:rPr>
      </w:pPr>
      <w:r w:rsidRPr="00423ADB">
        <w:rPr>
          <w:rFonts w:ascii="Arial" w:hAnsi="Arial" w:cs="Arial"/>
        </w:rPr>
        <w:t>Ve vztahu k třetímu kritériu EK vyslovila pochybnost, zda je hodnocení tohoto kritéria ze strany Úřadu dostatečně odůvodněné, a to zejména s ohledem na skutečnost, že v roce 2016, v rámci testu tří kritérií k trhu č. 8 (přístup a původ volání /originace/ ve veřejných mobilních telefonních sítích) Úřad hodnotil toto kritérium jako nesplněné.</w:t>
      </w:r>
    </w:p>
    <w:p w14:paraId="38712E55" w14:textId="2A6CE98F" w:rsidR="00CA52A8" w:rsidRPr="00423ADB" w:rsidRDefault="00985A53" w:rsidP="00CA52A8">
      <w:pPr>
        <w:ind w:firstLine="708"/>
        <w:jc w:val="both"/>
        <w:rPr>
          <w:rFonts w:ascii="Arial" w:hAnsi="Arial" w:cs="Arial"/>
        </w:rPr>
      </w:pPr>
      <w:r w:rsidRPr="00423ADB">
        <w:rPr>
          <w:rFonts w:ascii="Arial" w:hAnsi="Arial" w:cs="Arial"/>
        </w:rPr>
        <w:t xml:space="preserve"> Ke třetímu kritériu Úřad zastává stanovisko, že identifikovaný problém vysokých maloobchodních cen není možné odstranit pouze s využitím soutěžního práva. Úřad má za to, že na základě vyhodnocení bari</w:t>
      </w:r>
      <w:r w:rsidR="00B235C7" w:rsidRPr="00423ADB">
        <w:rPr>
          <w:rFonts w:ascii="Arial" w:hAnsi="Arial" w:cs="Arial"/>
        </w:rPr>
        <w:t>é</w:t>
      </w:r>
      <w:r w:rsidRPr="00423ADB">
        <w:rPr>
          <w:rFonts w:ascii="Arial" w:hAnsi="Arial" w:cs="Arial"/>
        </w:rPr>
        <w:t>r vstupu a směřování k účinné hospodářské soutěži lze usuzovat, že je s ohledem na identifikovaný tržní problém třeba uložit povinnosti</w:t>
      </w:r>
      <w:r w:rsidR="00CA52A8" w:rsidRPr="00423ADB">
        <w:rPr>
          <w:rFonts w:ascii="Arial" w:hAnsi="Arial" w:cs="Arial"/>
        </w:rPr>
        <w:t>,</w:t>
      </w:r>
      <w:r w:rsidR="00E93367" w:rsidRPr="00423ADB">
        <w:rPr>
          <w:rFonts w:ascii="Arial" w:hAnsi="Arial" w:cs="Arial"/>
        </w:rPr>
        <w:t xml:space="preserve"> zejména</w:t>
      </w:r>
      <w:r w:rsidRPr="00423ADB">
        <w:rPr>
          <w:rFonts w:ascii="Arial" w:hAnsi="Arial" w:cs="Arial"/>
        </w:rPr>
        <w:t xml:space="preserve"> povinnost</w:t>
      </w:r>
      <w:r w:rsidR="00B368EC" w:rsidRPr="00423ADB">
        <w:rPr>
          <w:rFonts w:ascii="Arial" w:hAnsi="Arial" w:cs="Arial"/>
        </w:rPr>
        <w:t>i</w:t>
      </w:r>
      <w:r w:rsidRPr="00423ADB">
        <w:rPr>
          <w:rFonts w:ascii="Arial" w:hAnsi="Arial" w:cs="Arial"/>
        </w:rPr>
        <w:t xml:space="preserve"> související s regulací cen formou specifické regulace </w:t>
      </w:r>
      <w:r w:rsidR="00D85213" w:rsidRPr="00423ADB">
        <w:rPr>
          <w:rFonts w:ascii="Arial" w:hAnsi="Arial" w:cs="Arial"/>
        </w:rPr>
        <w:t>ex-ante</w:t>
      </w:r>
      <w:r w:rsidRPr="00423ADB">
        <w:rPr>
          <w:rFonts w:ascii="Arial" w:hAnsi="Arial" w:cs="Arial"/>
        </w:rPr>
        <w:t xml:space="preserve">, které by nebylo možno uložit podle práva hospodářské soutěže. </w:t>
      </w:r>
    </w:p>
    <w:p w14:paraId="72263987" w14:textId="7AA00DCB" w:rsidR="00CA52A8" w:rsidRPr="00423ADB" w:rsidRDefault="00985A53" w:rsidP="00CA52A8">
      <w:pPr>
        <w:ind w:firstLine="708"/>
        <w:jc w:val="both"/>
        <w:rPr>
          <w:rFonts w:ascii="Arial" w:hAnsi="Arial" w:cs="Arial"/>
        </w:rPr>
      </w:pPr>
      <w:r w:rsidRPr="00423ADB">
        <w:rPr>
          <w:rFonts w:ascii="Arial" w:hAnsi="Arial" w:cs="Arial"/>
        </w:rPr>
        <w:t xml:space="preserve">K odkazu na hodnocení třetího kritéria v rámci testu tří kritérií k trhu č. 8 v roce 2016 Úřad uvádí, že předmětný relevantní trh (trh č. 8) byl odlišně vymezen. Byl zaměřen primárně na přístup a služby originace volání ve veřejných mobilních telefonních sítích a nezahrnoval segment datových služeb, zejména služby poskytované v sítích LTE. Předmětná kritéria (včetně kritéria třetího) tak Úřad v rámci předchozího testu tří kritérií hodnotil v kontextu daného vymezeného trhu a též s ohledem na vyhodnocení kritérií předešlých. </w:t>
      </w:r>
      <w:r w:rsidR="00B715E9" w:rsidRPr="00423ADB">
        <w:rPr>
          <w:rFonts w:ascii="Arial" w:hAnsi="Arial" w:cs="Arial"/>
        </w:rPr>
        <w:t>Rozšíření p</w:t>
      </w:r>
      <w:r w:rsidRPr="00423ADB">
        <w:rPr>
          <w:rFonts w:ascii="Arial" w:hAnsi="Arial" w:cs="Arial"/>
        </w:rPr>
        <w:t>ůvodní</w:t>
      </w:r>
      <w:r w:rsidR="003F0551" w:rsidRPr="00423ADB">
        <w:rPr>
          <w:rFonts w:ascii="Arial" w:hAnsi="Arial" w:cs="Arial"/>
        </w:rPr>
        <w:t>ho</w:t>
      </w:r>
      <w:r w:rsidRPr="00423ADB">
        <w:rPr>
          <w:rFonts w:ascii="Arial" w:hAnsi="Arial" w:cs="Arial"/>
        </w:rPr>
        <w:t xml:space="preserve"> vymezení trhu č. 8 bylo jedním z důvodů, proč Úřad </w:t>
      </w:r>
      <w:r w:rsidR="003F0551" w:rsidRPr="00423ADB">
        <w:rPr>
          <w:rFonts w:ascii="Arial" w:hAnsi="Arial" w:cs="Arial"/>
        </w:rPr>
        <w:t xml:space="preserve">dospěl </w:t>
      </w:r>
      <w:r w:rsidRPr="00423ADB">
        <w:rPr>
          <w:rFonts w:ascii="Arial" w:hAnsi="Arial" w:cs="Arial"/>
        </w:rPr>
        <w:t>k </w:t>
      </w:r>
      <w:r w:rsidR="003F0551" w:rsidRPr="00423ADB">
        <w:rPr>
          <w:rFonts w:ascii="Arial" w:hAnsi="Arial" w:cs="Arial"/>
        </w:rPr>
        <w:t xml:space="preserve">odlišnému </w:t>
      </w:r>
      <w:r w:rsidRPr="00423ADB">
        <w:rPr>
          <w:rFonts w:ascii="Arial" w:hAnsi="Arial" w:cs="Arial"/>
        </w:rPr>
        <w:t>hodnocení situace na trhu mobilních služeb</w:t>
      </w:r>
      <w:r w:rsidR="003F0551" w:rsidRPr="00423ADB">
        <w:rPr>
          <w:rFonts w:ascii="Arial" w:hAnsi="Arial" w:cs="Arial"/>
        </w:rPr>
        <w:t xml:space="preserve">. </w:t>
      </w:r>
    </w:p>
    <w:p w14:paraId="29A4737D" w14:textId="3724E280" w:rsidR="00F9308E" w:rsidRPr="00423ADB" w:rsidRDefault="00F9308E" w:rsidP="00CA52A8">
      <w:pPr>
        <w:ind w:firstLine="708"/>
        <w:jc w:val="both"/>
        <w:rPr>
          <w:rFonts w:ascii="Arial" w:hAnsi="Arial" w:cs="Arial"/>
        </w:rPr>
      </w:pPr>
      <w:r w:rsidRPr="00423ADB">
        <w:rPr>
          <w:rFonts w:ascii="Arial" w:hAnsi="Arial" w:cs="Arial"/>
        </w:rPr>
        <w:lastRenderedPageBreak/>
        <w:t>Úřad dále uvádí, že ačkoliv byl jeho závěr ve vztahu k tomuto kritériu v roce 2016</w:t>
      </w:r>
      <w:r w:rsidRPr="00423ADB">
        <w:rPr>
          <w:rStyle w:val="Znakapoznpodarou"/>
          <w:rFonts w:ascii="Arial" w:hAnsi="Arial" w:cs="Arial"/>
        </w:rPr>
        <w:footnoteReference w:id="12"/>
      </w:r>
      <w:r w:rsidRPr="00423ADB">
        <w:rPr>
          <w:rFonts w:ascii="Arial" w:hAnsi="Arial" w:cs="Arial"/>
        </w:rPr>
        <w:t xml:space="preserve"> opačný, je skutečnost, že se od té doby situace nezlepšila a cenová hladina mobilních služeb v České republice patří nadále mezi nejvyšší v EU, důkazem toho, že samostatné právo hospodářské soutěže není dostatečné k zajištění účinné hospodářské soutěže.</w:t>
      </w:r>
      <w:r w:rsidR="00993586" w:rsidRPr="00423ADB">
        <w:rPr>
          <w:rFonts w:ascii="Arial" w:hAnsi="Arial" w:cs="Arial"/>
        </w:rPr>
        <w:t xml:space="preserve"> </w:t>
      </w:r>
    </w:p>
    <w:p w14:paraId="45166638" w14:textId="71AD0A1F" w:rsidR="00CA52A8" w:rsidRPr="00423ADB" w:rsidRDefault="00985A53" w:rsidP="00CA52A8">
      <w:pPr>
        <w:ind w:firstLine="708"/>
        <w:jc w:val="both"/>
        <w:rPr>
          <w:rFonts w:ascii="Arial" w:hAnsi="Arial" w:cs="Arial"/>
        </w:rPr>
      </w:pPr>
      <w:r w:rsidRPr="00423ADB">
        <w:rPr>
          <w:rFonts w:ascii="Arial" w:hAnsi="Arial" w:cs="Arial"/>
        </w:rPr>
        <w:t>EK se také vyjádřila k otázce sdílení sítí mezi společnostmi T-Mobile a CETIN, a to v</w:t>
      </w:r>
      <w:r w:rsidR="001626DA" w:rsidRPr="00423ADB">
        <w:rPr>
          <w:rFonts w:ascii="Arial" w:hAnsi="Arial" w:cs="Arial"/>
        </w:rPr>
        <w:t>e</w:t>
      </w:r>
      <w:r w:rsidRPr="00423ADB">
        <w:rPr>
          <w:rFonts w:ascii="Arial" w:hAnsi="Arial" w:cs="Arial"/>
        </w:rPr>
        <w:t xml:space="preserve"> smyslu dostatečn</w:t>
      </w:r>
      <w:r w:rsidR="00824126" w:rsidRPr="00423ADB">
        <w:rPr>
          <w:rFonts w:ascii="Arial" w:hAnsi="Arial" w:cs="Arial"/>
        </w:rPr>
        <w:t>ého</w:t>
      </w:r>
      <w:r w:rsidRPr="00423ADB">
        <w:rPr>
          <w:rFonts w:ascii="Arial" w:hAnsi="Arial" w:cs="Arial"/>
        </w:rPr>
        <w:t xml:space="preserve"> zohledn</w:t>
      </w:r>
      <w:r w:rsidR="00824126" w:rsidRPr="00423ADB">
        <w:rPr>
          <w:rFonts w:ascii="Arial" w:hAnsi="Arial" w:cs="Arial"/>
        </w:rPr>
        <w:t>ění</w:t>
      </w:r>
      <w:r w:rsidRPr="00423ADB">
        <w:rPr>
          <w:rFonts w:ascii="Arial" w:hAnsi="Arial" w:cs="Arial"/>
        </w:rPr>
        <w:t xml:space="preserve"> konkrétní</w:t>
      </w:r>
      <w:r w:rsidR="00824126" w:rsidRPr="00423ADB">
        <w:rPr>
          <w:rFonts w:ascii="Arial" w:hAnsi="Arial" w:cs="Arial"/>
        </w:rPr>
        <w:t>ch</w:t>
      </w:r>
      <w:r w:rsidRPr="00423ADB">
        <w:rPr>
          <w:rFonts w:ascii="Arial" w:hAnsi="Arial" w:cs="Arial"/>
        </w:rPr>
        <w:t xml:space="preserve"> okolnost</w:t>
      </w:r>
      <w:r w:rsidR="00A40B3B" w:rsidRPr="00423ADB">
        <w:rPr>
          <w:rFonts w:ascii="Arial" w:hAnsi="Arial" w:cs="Arial"/>
        </w:rPr>
        <w:t>í</w:t>
      </w:r>
      <w:r w:rsidRPr="00423ADB">
        <w:rPr>
          <w:rFonts w:ascii="Arial" w:hAnsi="Arial" w:cs="Arial"/>
        </w:rPr>
        <w:t xml:space="preserve"> tohoto sdílení, například vysok</w:t>
      </w:r>
      <w:r w:rsidR="001626DA" w:rsidRPr="00423ADB">
        <w:rPr>
          <w:rFonts w:ascii="Arial" w:hAnsi="Arial" w:cs="Arial"/>
        </w:rPr>
        <w:t>ých</w:t>
      </w:r>
      <w:r w:rsidRPr="00423ADB">
        <w:rPr>
          <w:rFonts w:ascii="Arial" w:hAnsi="Arial" w:cs="Arial"/>
        </w:rPr>
        <w:t xml:space="preserve"> tržní</w:t>
      </w:r>
      <w:r w:rsidR="001626DA" w:rsidRPr="00423ADB">
        <w:rPr>
          <w:rFonts w:ascii="Arial" w:hAnsi="Arial" w:cs="Arial"/>
        </w:rPr>
        <w:t>ch</w:t>
      </w:r>
      <w:r w:rsidRPr="00423ADB">
        <w:rPr>
          <w:rFonts w:ascii="Arial" w:hAnsi="Arial" w:cs="Arial"/>
        </w:rPr>
        <w:t xml:space="preserve"> podíl</w:t>
      </w:r>
      <w:r w:rsidR="001626DA" w:rsidRPr="00423ADB">
        <w:rPr>
          <w:rFonts w:ascii="Arial" w:hAnsi="Arial" w:cs="Arial"/>
        </w:rPr>
        <w:t>ů</w:t>
      </w:r>
      <w:r w:rsidRPr="00423ADB">
        <w:rPr>
          <w:rFonts w:ascii="Arial" w:hAnsi="Arial" w:cs="Arial"/>
        </w:rPr>
        <w:t xml:space="preserve"> sdílejících stran, fakt</w:t>
      </w:r>
      <w:r w:rsidR="001626DA" w:rsidRPr="00423ADB">
        <w:rPr>
          <w:rFonts w:ascii="Arial" w:hAnsi="Arial" w:cs="Arial"/>
        </w:rPr>
        <w:t>ů</w:t>
      </w:r>
      <w:r w:rsidRPr="00423ADB">
        <w:rPr>
          <w:rFonts w:ascii="Arial" w:hAnsi="Arial" w:cs="Arial"/>
        </w:rPr>
        <w:t xml:space="preserve">, že se jedná o společnosti s první a druhou pozicí na trhu, že dohoda zahrnuje všechny stávající technologie a geograficky celé území ČR (vyjma Prahy a Brna), a že je uzavřena na dlouhé období (20 let). </w:t>
      </w:r>
    </w:p>
    <w:p w14:paraId="3FAD5D53" w14:textId="1A29E4A5" w:rsidR="00824126" w:rsidRPr="00423ADB" w:rsidRDefault="00985A53" w:rsidP="00CA52A8">
      <w:pPr>
        <w:ind w:firstLine="708"/>
        <w:jc w:val="both"/>
        <w:rPr>
          <w:rFonts w:ascii="Arial" w:hAnsi="Arial" w:cs="Arial"/>
        </w:rPr>
      </w:pPr>
      <w:r w:rsidRPr="00423ADB">
        <w:rPr>
          <w:rFonts w:ascii="Arial" w:hAnsi="Arial" w:cs="Arial"/>
        </w:rPr>
        <w:t xml:space="preserve">Úřad k této připomínce uvádí, že v rámci </w:t>
      </w:r>
      <w:r w:rsidR="008344FB" w:rsidRPr="00423ADB">
        <w:rPr>
          <w:rFonts w:ascii="Arial" w:hAnsi="Arial" w:cs="Arial"/>
        </w:rPr>
        <w:t>T3K mobilního trhu</w:t>
      </w:r>
      <w:r w:rsidRPr="00423ADB">
        <w:rPr>
          <w:rFonts w:ascii="Arial" w:hAnsi="Arial" w:cs="Arial"/>
        </w:rPr>
        <w:t xml:space="preserve"> (a předběžné analýzy daného trhu) se sdílením sítí zabýval zejména s ohledem na </w:t>
      </w:r>
      <w:r w:rsidR="001F4BEC" w:rsidRPr="00423ADB">
        <w:rPr>
          <w:rFonts w:ascii="Arial" w:hAnsi="Arial" w:cs="Arial"/>
        </w:rPr>
        <w:t>krátko</w:t>
      </w:r>
      <w:r w:rsidR="009D0BAD" w:rsidRPr="00423ADB">
        <w:rPr>
          <w:rFonts w:ascii="Arial" w:hAnsi="Arial" w:cs="Arial"/>
        </w:rPr>
        <w:t>dobý</w:t>
      </w:r>
      <w:r w:rsidR="001F4BEC" w:rsidRPr="00423ADB">
        <w:rPr>
          <w:rFonts w:ascii="Arial" w:hAnsi="Arial" w:cs="Arial"/>
        </w:rPr>
        <w:t xml:space="preserve"> a střednědobý </w:t>
      </w:r>
      <w:r w:rsidR="00824126" w:rsidRPr="00423ADB">
        <w:rPr>
          <w:rFonts w:ascii="Arial" w:hAnsi="Arial" w:cs="Arial"/>
        </w:rPr>
        <w:t>horizont možný</w:t>
      </w:r>
      <w:r w:rsidR="00CF5BAC" w:rsidRPr="00423ADB">
        <w:rPr>
          <w:rFonts w:ascii="Arial" w:hAnsi="Arial" w:cs="Arial"/>
        </w:rPr>
        <w:t>c</w:t>
      </w:r>
      <w:r w:rsidR="00824126" w:rsidRPr="00423ADB">
        <w:rPr>
          <w:rFonts w:ascii="Arial" w:hAnsi="Arial" w:cs="Arial"/>
        </w:rPr>
        <w:t xml:space="preserve">h dopadů </w:t>
      </w:r>
      <w:r w:rsidR="001F4BEC" w:rsidRPr="00423ADB">
        <w:rPr>
          <w:rFonts w:ascii="Arial" w:hAnsi="Arial" w:cs="Arial"/>
        </w:rPr>
        <w:t xml:space="preserve">na úroveň </w:t>
      </w:r>
      <w:r w:rsidRPr="00423ADB">
        <w:rPr>
          <w:rFonts w:ascii="Arial" w:hAnsi="Arial" w:cs="Arial"/>
        </w:rPr>
        <w:t>posouzení konkurenčního prostředí, tedy zda předmětné sdílení nesnižuje úroveň hospodářské soutěže na trhu mobilních služeb, a rovněž vyhodnocoval jeho možný vliv na předmětný velkoobchodní trh. Stanovisko k předmětnému sdílení sítí</w:t>
      </w:r>
      <w:r w:rsidRPr="00423ADB">
        <w:rPr>
          <w:rStyle w:val="Znakapoznpodarou"/>
          <w:rFonts w:ascii="Arial" w:hAnsi="Arial" w:cs="Arial"/>
        </w:rPr>
        <w:footnoteReference w:id="13"/>
      </w:r>
      <w:r w:rsidRPr="00423ADB">
        <w:rPr>
          <w:rFonts w:ascii="Arial" w:hAnsi="Arial" w:cs="Arial"/>
        </w:rPr>
        <w:t xml:space="preserve"> ve kterém Úřad hodnotil </w:t>
      </w:r>
      <w:r w:rsidR="00D44EA3" w:rsidRPr="00423ADB">
        <w:rPr>
          <w:rFonts w:ascii="Arial" w:hAnsi="Arial" w:cs="Arial"/>
        </w:rPr>
        <w:t>z</w:t>
      </w:r>
      <w:r w:rsidR="001F4BEC" w:rsidRPr="00423ADB">
        <w:rPr>
          <w:rFonts w:ascii="Arial" w:hAnsi="Arial" w:cs="Arial"/>
        </w:rPr>
        <w:t> </w:t>
      </w:r>
      <w:r w:rsidR="00D44EA3" w:rsidRPr="00423ADB">
        <w:rPr>
          <w:rFonts w:ascii="Arial" w:hAnsi="Arial" w:cs="Arial"/>
        </w:rPr>
        <w:t>krátko</w:t>
      </w:r>
      <w:r w:rsidR="00B6418F" w:rsidRPr="00423ADB">
        <w:rPr>
          <w:rFonts w:ascii="Arial" w:hAnsi="Arial" w:cs="Arial"/>
        </w:rPr>
        <w:t>dobého</w:t>
      </w:r>
      <w:r w:rsidR="001F4BEC" w:rsidRPr="00423ADB">
        <w:rPr>
          <w:rFonts w:ascii="Arial" w:hAnsi="Arial" w:cs="Arial"/>
        </w:rPr>
        <w:t xml:space="preserve"> a středně</w:t>
      </w:r>
      <w:r w:rsidR="00D44EA3" w:rsidRPr="00423ADB">
        <w:rPr>
          <w:rFonts w:ascii="Arial" w:hAnsi="Arial" w:cs="Arial"/>
        </w:rPr>
        <w:t xml:space="preserve">dobého pohledu </w:t>
      </w:r>
      <w:r w:rsidRPr="00423ADB">
        <w:rPr>
          <w:rFonts w:ascii="Arial" w:hAnsi="Arial" w:cs="Arial"/>
        </w:rPr>
        <w:t>dopady sdílení sítí na trh</w:t>
      </w:r>
      <w:r w:rsidR="001F4BEC" w:rsidRPr="00423ADB">
        <w:rPr>
          <w:rFonts w:ascii="Arial" w:hAnsi="Arial" w:cs="Arial"/>
        </w:rPr>
        <w:t>,</w:t>
      </w:r>
      <w:r w:rsidRPr="00423ADB">
        <w:rPr>
          <w:rFonts w:ascii="Arial" w:hAnsi="Arial" w:cs="Arial"/>
        </w:rPr>
        <w:t xml:space="preserve"> zpracoval již v roce 2015 a ve svém hodnocení předmětného sdílení v </w:t>
      </w:r>
      <w:r w:rsidR="008344FB" w:rsidRPr="00423ADB">
        <w:rPr>
          <w:rFonts w:ascii="Arial" w:hAnsi="Arial" w:cs="Arial"/>
        </w:rPr>
        <w:t>T3K mobilního trhu</w:t>
      </w:r>
      <w:r w:rsidRPr="00423ADB">
        <w:rPr>
          <w:rFonts w:ascii="Arial" w:hAnsi="Arial" w:cs="Arial"/>
        </w:rPr>
        <w:t xml:space="preserve"> z něj vychází. Úřad zároveň poznamenává, jak již uvedl v rámci samotného </w:t>
      </w:r>
      <w:r w:rsidR="008344FB" w:rsidRPr="00423ADB">
        <w:rPr>
          <w:rFonts w:ascii="Arial" w:hAnsi="Arial" w:cs="Arial"/>
        </w:rPr>
        <w:t>T3K mobilního trhu</w:t>
      </w:r>
      <w:r w:rsidRPr="00423ADB">
        <w:rPr>
          <w:rFonts w:ascii="Arial" w:hAnsi="Arial" w:cs="Arial"/>
        </w:rPr>
        <w:t>, že svým hodnocením nepředjímá jak</w:t>
      </w:r>
      <w:r w:rsidR="001F4BEC" w:rsidRPr="00423ADB">
        <w:rPr>
          <w:rFonts w:ascii="Arial" w:hAnsi="Arial" w:cs="Arial"/>
        </w:rPr>
        <w:t>é</w:t>
      </w:r>
      <w:r w:rsidRPr="00423ADB">
        <w:rPr>
          <w:rFonts w:ascii="Arial" w:hAnsi="Arial" w:cs="Arial"/>
        </w:rPr>
        <w:t xml:space="preserve">koliv výsledky probíhajícího šetření tohoto případu Evropskou komisí – Generálním ředitelstvím pro hospodářskou soutěž (DG </w:t>
      </w:r>
      <w:proofErr w:type="spellStart"/>
      <w:r w:rsidRPr="00423ADB">
        <w:rPr>
          <w:rFonts w:ascii="Arial" w:hAnsi="Arial" w:cs="Arial"/>
        </w:rPr>
        <w:t>Competition</w:t>
      </w:r>
      <w:proofErr w:type="spellEnd"/>
      <w:r w:rsidRPr="00423ADB">
        <w:rPr>
          <w:rFonts w:ascii="Arial" w:hAnsi="Arial" w:cs="Arial"/>
        </w:rPr>
        <w:t xml:space="preserve">), která od října 2016 posuzuje dohody o sdílení sítí v České republice s cílem zjistit, zda uvedená spolupráce omezuje hospodářskou soutěž, a tedy zda porušuje </w:t>
      </w:r>
      <w:r w:rsidR="00343F76" w:rsidRPr="00423ADB">
        <w:rPr>
          <w:rFonts w:ascii="Arial" w:hAnsi="Arial" w:cs="Arial"/>
        </w:rPr>
        <w:t>čl. 101 Smlouvy o fungování Evropské unie (SFEU)</w:t>
      </w:r>
      <w:r w:rsidRPr="00423ADB">
        <w:rPr>
          <w:rFonts w:ascii="Arial" w:hAnsi="Arial" w:cs="Arial"/>
        </w:rPr>
        <w:t xml:space="preserve">. </w:t>
      </w:r>
      <w:r w:rsidR="0093032F" w:rsidRPr="00423ADB">
        <w:rPr>
          <w:rFonts w:ascii="Arial" w:hAnsi="Arial" w:cs="Arial"/>
        </w:rPr>
        <w:t xml:space="preserve">Evropská komise </w:t>
      </w:r>
      <w:r w:rsidR="00866A53" w:rsidRPr="00423ADB">
        <w:rPr>
          <w:rFonts w:ascii="Arial" w:hAnsi="Arial" w:cs="Arial"/>
        </w:rPr>
        <w:t xml:space="preserve">v rámci probíhajícího šetření </w:t>
      </w:r>
      <w:r w:rsidR="0093032F" w:rsidRPr="00423ADB">
        <w:rPr>
          <w:rFonts w:ascii="Arial" w:hAnsi="Arial" w:cs="Arial"/>
        </w:rPr>
        <w:t xml:space="preserve">zveřejnila </w:t>
      </w:r>
      <w:r w:rsidR="00866A53" w:rsidRPr="00423ADB">
        <w:rPr>
          <w:rFonts w:ascii="Arial" w:hAnsi="Arial" w:cs="Arial"/>
        </w:rPr>
        <w:t xml:space="preserve">7. srpna 2019 </w:t>
      </w:r>
      <w:r w:rsidR="0093032F" w:rsidRPr="00423ADB">
        <w:rPr>
          <w:rFonts w:ascii="Arial" w:hAnsi="Arial" w:cs="Arial"/>
        </w:rPr>
        <w:t>tiskovou zprávu</w:t>
      </w:r>
      <w:r w:rsidR="00866A53" w:rsidRPr="00423ADB">
        <w:rPr>
          <w:rStyle w:val="Znakapoznpodarou"/>
          <w:rFonts w:ascii="Arial" w:hAnsi="Arial" w:cs="Arial"/>
        </w:rPr>
        <w:footnoteReference w:id="14"/>
      </w:r>
      <w:r w:rsidR="00866A53" w:rsidRPr="00423ADB">
        <w:rPr>
          <w:rFonts w:ascii="Arial" w:hAnsi="Arial" w:cs="Arial"/>
        </w:rPr>
        <w:t xml:space="preserve"> o tom, že informovala dotčené operátory o</w:t>
      </w:r>
      <w:r w:rsidR="0093032F" w:rsidRPr="00423ADB">
        <w:rPr>
          <w:rFonts w:ascii="Arial" w:hAnsi="Arial" w:cs="Arial"/>
        </w:rPr>
        <w:t> předběžný</w:t>
      </w:r>
      <w:r w:rsidR="00866A53" w:rsidRPr="00423ADB">
        <w:rPr>
          <w:rFonts w:ascii="Arial" w:hAnsi="Arial" w:cs="Arial"/>
        </w:rPr>
        <w:t>ch</w:t>
      </w:r>
      <w:r w:rsidR="0093032F" w:rsidRPr="00423ADB">
        <w:rPr>
          <w:rFonts w:ascii="Arial" w:hAnsi="Arial" w:cs="Arial"/>
        </w:rPr>
        <w:t xml:space="preserve"> výsled</w:t>
      </w:r>
      <w:r w:rsidR="00866A53" w:rsidRPr="00423ADB">
        <w:rPr>
          <w:rFonts w:ascii="Arial" w:hAnsi="Arial" w:cs="Arial"/>
        </w:rPr>
        <w:t>cích</w:t>
      </w:r>
      <w:r w:rsidR="0093032F" w:rsidRPr="00423ADB">
        <w:rPr>
          <w:rFonts w:ascii="Arial" w:hAnsi="Arial" w:cs="Arial"/>
        </w:rPr>
        <w:t xml:space="preserve"> šetření sdílení sít</w:t>
      </w:r>
      <w:r w:rsidR="009D0BAD" w:rsidRPr="00423ADB">
        <w:rPr>
          <w:rFonts w:ascii="Arial" w:hAnsi="Arial" w:cs="Arial"/>
        </w:rPr>
        <w:t>í</w:t>
      </w:r>
      <w:r w:rsidR="00866A53" w:rsidRPr="00423ADB">
        <w:rPr>
          <w:rFonts w:ascii="Arial" w:hAnsi="Arial" w:cs="Arial"/>
        </w:rPr>
        <w:t>,</w:t>
      </w:r>
      <w:r w:rsidR="0093032F" w:rsidRPr="00423ADB">
        <w:rPr>
          <w:rFonts w:ascii="Arial" w:hAnsi="Arial" w:cs="Arial"/>
        </w:rPr>
        <w:t xml:space="preserve"> </w:t>
      </w:r>
      <w:r w:rsidR="00866A53" w:rsidRPr="00423ADB">
        <w:rPr>
          <w:rFonts w:ascii="Arial" w:hAnsi="Arial" w:cs="Arial"/>
        </w:rPr>
        <w:t>ve které uvádí</w:t>
      </w:r>
      <w:r w:rsidR="009D0BAD" w:rsidRPr="00423ADB">
        <w:rPr>
          <w:rFonts w:ascii="Arial" w:hAnsi="Arial" w:cs="Arial"/>
        </w:rPr>
        <w:t>,</w:t>
      </w:r>
      <w:r w:rsidR="00866A53" w:rsidRPr="00423ADB">
        <w:rPr>
          <w:rFonts w:ascii="Arial" w:hAnsi="Arial" w:cs="Arial"/>
        </w:rPr>
        <w:t xml:space="preserve"> že „</w:t>
      </w:r>
      <w:r w:rsidR="00866A53" w:rsidRPr="00423ADB">
        <w:rPr>
          <w:rFonts w:ascii="Arial" w:hAnsi="Arial" w:cs="Arial"/>
          <w:i/>
        </w:rPr>
        <w:t xml:space="preserve">Pokud se předběžné závěry Komise potvrdí, bude to znamenat, že dochází k porušování </w:t>
      </w:r>
      <w:hyperlink r:id="rId16" w:history="1">
        <w:r w:rsidR="00866A53" w:rsidRPr="00423ADB">
          <w:rPr>
            <w:rStyle w:val="Hypertextovodkaz"/>
            <w:rFonts w:ascii="Arial" w:hAnsi="Arial" w:cs="Arial"/>
            <w:i/>
            <w:color w:val="auto"/>
          </w:rPr>
          <w:t>článku 101</w:t>
        </w:r>
      </w:hyperlink>
      <w:r w:rsidR="00866A53" w:rsidRPr="00423ADB">
        <w:rPr>
          <w:rFonts w:ascii="Arial" w:hAnsi="Arial" w:cs="Arial"/>
          <w:i/>
        </w:rPr>
        <w:t xml:space="preserve"> Smlouvy o fungování Evropské unie, který zakazuje protisoutěžní dohody.“</w:t>
      </w:r>
      <w:r w:rsidR="00866A53" w:rsidRPr="00423ADB">
        <w:rPr>
          <w:rFonts w:ascii="Arial" w:hAnsi="Arial" w:cs="Arial"/>
        </w:rPr>
        <w:t xml:space="preserve"> </w:t>
      </w:r>
      <w:r w:rsidR="00032834" w:rsidRPr="00423ADB">
        <w:rPr>
          <w:rFonts w:ascii="Arial" w:hAnsi="Arial" w:cs="Arial"/>
        </w:rPr>
        <w:t>Informace uvedené v tiskové zprávě podle Úřadu nijak nezpochybňují jeho hodnocení jednotlivých kritérií, zda je trh vhodný pro ex-ante regulaci</w:t>
      </w:r>
      <w:r w:rsidR="00866A53" w:rsidRPr="00423ADB">
        <w:rPr>
          <w:rFonts w:ascii="Arial" w:hAnsi="Arial" w:cs="Arial"/>
        </w:rPr>
        <w:t xml:space="preserve">. </w:t>
      </w:r>
    </w:p>
    <w:p w14:paraId="72E79AB8" w14:textId="217ED364" w:rsidR="00985A53" w:rsidRPr="00423ADB" w:rsidRDefault="00985A53" w:rsidP="00824126">
      <w:pPr>
        <w:ind w:firstLine="708"/>
        <w:jc w:val="both"/>
        <w:rPr>
          <w:rFonts w:ascii="Arial" w:hAnsi="Arial" w:cs="Arial"/>
        </w:rPr>
      </w:pPr>
      <w:r w:rsidRPr="00423ADB">
        <w:rPr>
          <w:rFonts w:ascii="Arial" w:hAnsi="Arial" w:cs="Arial"/>
        </w:rPr>
        <w:t xml:space="preserve">EK dále </w:t>
      </w:r>
      <w:r w:rsidR="00DA4DC3" w:rsidRPr="00423ADB">
        <w:rPr>
          <w:rFonts w:ascii="Arial" w:hAnsi="Arial" w:cs="Arial"/>
        </w:rPr>
        <w:t xml:space="preserve">ve svém rozhodnutí </w:t>
      </w:r>
      <w:r w:rsidRPr="00423ADB">
        <w:rPr>
          <w:rFonts w:ascii="Arial" w:hAnsi="Arial" w:cs="Arial"/>
        </w:rPr>
        <w:t>pouk</w:t>
      </w:r>
      <w:r w:rsidR="00DA4DC3" w:rsidRPr="00423ADB">
        <w:rPr>
          <w:rFonts w:ascii="Arial" w:hAnsi="Arial" w:cs="Arial"/>
        </w:rPr>
        <w:t xml:space="preserve">ázala </w:t>
      </w:r>
      <w:r w:rsidRPr="00423ADB">
        <w:rPr>
          <w:rFonts w:ascii="Arial" w:hAnsi="Arial" w:cs="Arial"/>
        </w:rPr>
        <w:t xml:space="preserve">na časovou prodlevu mezi zpracováním </w:t>
      </w:r>
      <w:r w:rsidR="008344FB" w:rsidRPr="00423ADB">
        <w:rPr>
          <w:rFonts w:ascii="Arial" w:hAnsi="Arial" w:cs="Arial"/>
        </w:rPr>
        <w:t>T3K mobilního trhu</w:t>
      </w:r>
      <w:r w:rsidRPr="00423ADB">
        <w:rPr>
          <w:rFonts w:ascii="Arial" w:hAnsi="Arial" w:cs="Arial"/>
        </w:rPr>
        <w:t xml:space="preserve">, resp. jeho veřejnou konzultací a oznámením EK za velmi dlouhé, což může mít dle EK dopad na platnost závěrů </w:t>
      </w:r>
      <w:r w:rsidR="008344FB" w:rsidRPr="00423ADB">
        <w:rPr>
          <w:rFonts w:ascii="Arial" w:hAnsi="Arial" w:cs="Arial"/>
        </w:rPr>
        <w:t>T3K mobilního trhu</w:t>
      </w:r>
      <w:r w:rsidRPr="00423ADB">
        <w:rPr>
          <w:rFonts w:ascii="Arial" w:hAnsi="Arial" w:cs="Arial"/>
        </w:rPr>
        <w:t xml:space="preserve">. Úřad vnímá tuto připomínku jako relevantní, současně </w:t>
      </w:r>
      <w:r w:rsidR="00824126" w:rsidRPr="00423ADB">
        <w:rPr>
          <w:rFonts w:ascii="Arial" w:hAnsi="Arial" w:cs="Arial"/>
        </w:rPr>
        <w:t xml:space="preserve">však </w:t>
      </w:r>
      <w:r w:rsidRPr="00423ADB">
        <w:rPr>
          <w:rFonts w:ascii="Arial" w:hAnsi="Arial" w:cs="Arial"/>
        </w:rPr>
        <w:t xml:space="preserve">poukazuje na skutečnost, že v mezidobí zpracoval vedle </w:t>
      </w:r>
      <w:r w:rsidR="008344FB" w:rsidRPr="00423ADB">
        <w:rPr>
          <w:rFonts w:ascii="Arial" w:hAnsi="Arial" w:cs="Arial"/>
        </w:rPr>
        <w:t>T3K mobilního trhu</w:t>
      </w:r>
      <w:r w:rsidRPr="00423ADB">
        <w:rPr>
          <w:rFonts w:ascii="Arial" w:hAnsi="Arial" w:cs="Arial"/>
        </w:rPr>
        <w:t xml:space="preserve"> i předběžnou analýzu velkoobchodního trhu mobilních služeb, která identifikovaný tržní problém vysokých maloobchodních cen pro segment rezidentních zákazníků potvrdila, a navíc indikovala existenci tacitní koluze 3 MNO. </w:t>
      </w:r>
      <w:r w:rsidR="00343F76" w:rsidRPr="00423ADB">
        <w:rPr>
          <w:rFonts w:ascii="Arial" w:hAnsi="Arial" w:cs="Arial"/>
        </w:rPr>
        <w:t xml:space="preserve">Výsledky této předběžné analýzy byly rovněž </w:t>
      </w:r>
      <w:hyperlink r:id="rId17" w:history="1">
        <w:r w:rsidR="00343F76" w:rsidRPr="00423ADB">
          <w:rPr>
            <w:rStyle w:val="Hypertextovodkaz"/>
            <w:rFonts w:ascii="Arial" w:hAnsi="Arial" w:cs="Arial"/>
            <w:color w:val="auto"/>
          </w:rPr>
          <w:t>konzultovány</w:t>
        </w:r>
      </w:hyperlink>
      <w:r w:rsidR="00343F76" w:rsidRPr="00423ADB">
        <w:rPr>
          <w:rFonts w:ascii="Arial" w:hAnsi="Arial" w:cs="Arial"/>
        </w:rPr>
        <w:t xml:space="preserve"> s dotčenými subjekty a veřejností v březnu 2019</w:t>
      </w:r>
      <w:r w:rsidR="00B960CD" w:rsidRPr="00423ADB">
        <w:rPr>
          <w:rFonts w:ascii="Arial" w:hAnsi="Arial" w:cs="Arial"/>
        </w:rPr>
        <w:t xml:space="preserve"> a Úřad připomínky vypořádal v Rámcové pozici, kterou </w:t>
      </w:r>
      <w:hyperlink r:id="rId18" w:history="1">
        <w:r w:rsidR="00B960CD" w:rsidRPr="00423ADB">
          <w:rPr>
            <w:rStyle w:val="Hypertextovodkaz"/>
            <w:rFonts w:ascii="Arial" w:hAnsi="Arial" w:cs="Arial"/>
            <w:color w:val="auto"/>
          </w:rPr>
          <w:t>zveřejnil</w:t>
        </w:r>
      </w:hyperlink>
      <w:r w:rsidR="00B960CD" w:rsidRPr="00423ADB">
        <w:rPr>
          <w:rFonts w:ascii="Arial" w:hAnsi="Arial" w:cs="Arial"/>
        </w:rPr>
        <w:t xml:space="preserve"> na svých stránkách</w:t>
      </w:r>
      <w:r w:rsidR="00343F76" w:rsidRPr="00423ADB">
        <w:rPr>
          <w:rFonts w:ascii="Arial" w:hAnsi="Arial" w:cs="Arial"/>
        </w:rPr>
        <w:t xml:space="preserve">. </w:t>
      </w:r>
      <w:r w:rsidRPr="00423ADB">
        <w:rPr>
          <w:rFonts w:ascii="Arial" w:hAnsi="Arial" w:cs="Arial"/>
        </w:rPr>
        <w:t>Úřad klíčové ukazatele, obsažené v </w:t>
      </w:r>
      <w:r w:rsidR="008344FB" w:rsidRPr="00423ADB">
        <w:rPr>
          <w:rFonts w:ascii="Arial" w:hAnsi="Arial" w:cs="Arial"/>
        </w:rPr>
        <w:t>T3K mobilního trhu</w:t>
      </w:r>
      <w:r w:rsidRPr="00423ADB">
        <w:rPr>
          <w:rFonts w:ascii="Arial" w:hAnsi="Arial" w:cs="Arial"/>
        </w:rPr>
        <w:t>, pro ověření platnosti v </w:t>
      </w:r>
      <w:r w:rsidR="008344FB" w:rsidRPr="00423ADB">
        <w:rPr>
          <w:rFonts w:ascii="Arial" w:hAnsi="Arial" w:cs="Arial"/>
        </w:rPr>
        <w:t>T3K mobilního trhu</w:t>
      </w:r>
      <w:r w:rsidRPr="00423ADB">
        <w:rPr>
          <w:rFonts w:ascii="Arial" w:hAnsi="Arial" w:cs="Arial"/>
        </w:rPr>
        <w:t xml:space="preserve"> uvedených závěrů aktualizoval a poskytl je v rámci konzultačního procesu EK</w:t>
      </w:r>
      <w:r w:rsidR="00AF4FFE" w:rsidRPr="00423ADB">
        <w:rPr>
          <w:rFonts w:ascii="Arial" w:hAnsi="Arial" w:cs="Arial"/>
        </w:rPr>
        <w:t xml:space="preserve">, přičemž jak je </w:t>
      </w:r>
      <w:r w:rsidR="00AF4FFE" w:rsidRPr="00423ADB">
        <w:rPr>
          <w:rFonts w:ascii="Arial" w:hAnsi="Arial" w:cs="Arial"/>
        </w:rPr>
        <w:lastRenderedPageBreak/>
        <w:t>uvedeno i výše</w:t>
      </w:r>
      <w:r w:rsidR="00AA65EA" w:rsidRPr="00423ADB">
        <w:rPr>
          <w:rFonts w:ascii="Arial" w:hAnsi="Arial" w:cs="Arial"/>
        </w:rPr>
        <w:t>,</w:t>
      </w:r>
      <w:r w:rsidR="00AF4FFE" w:rsidRPr="00423ADB">
        <w:rPr>
          <w:rFonts w:ascii="Arial" w:hAnsi="Arial" w:cs="Arial"/>
        </w:rPr>
        <w:t xml:space="preserve"> aktualizované časové řady potvrzují dosavadní trendy a tím i samotné závěry </w:t>
      </w:r>
      <w:r w:rsidR="008344FB" w:rsidRPr="00423ADB">
        <w:rPr>
          <w:rFonts w:ascii="Arial" w:hAnsi="Arial" w:cs="Arial"/>
        </w:rPr>
        <w:t>T3K mobilního trhu</w:t>
      </w:r>
      <w:r w:rsidRPr="00423ADB">
        <w:rPr>
          <w:rFonts w:ascii="Arial" w:hAnsi="Arial" w:cs="Arial"/>
        </w:rPr>
        <w:t>.</w:t>
      </w:r>
      <w:r w:rsidR="00343F76" w:rsidRPr="00423ADB">
        <w:rPr>
          <w:rFonts w:ascii="Arial" w:hAnsi="Arial" w:cs="Arial"/>
        </w:rPr>
        <w:t xml:space="preserve"> </w:t>
      </w:r>
    </w:p>
    <w:p w14:paraId="10586A10" w14:textId="6AD15A9B" w:rsidR="00B960CD" w:rsidRPr="00423ADB" w:rsidRDefault="00B960CD" w:rsidP="00B960CD">
      <w:pPr>
        <w:ind w:firstLine="708"/>
        <w:jc w:val="both"/>
        <w:rPr>
          <w:rFonts w:ascii="Arial" w:hAnsi="Arial" w:cs="Arial"/>
        </w:rPr>
      </w:pPr>
      <w:r w:rsidRPr="00423ADB">
        <w:rPr>
          <w:rFonts w:ascii="Arial" w:hAnsi="Arial" w:cs="Arial"/>
        </w:rPr>
        <w:t>S ohledem na výše uvedené má Úřad za to, že vymezený trh lze zařadit do seznamu relevantních trhů v rámci tohoto opatření obecné povah</w:t>
      </w:r>
      <w:r w:rsidR="00AF4FFE" w:rsidRPr="00423ADB">
        <w:rPr>
          <w:rFonts w:ascii="Arial" w:hAnsi="Arial" w:cs="Arial"/>
        </w:rPr>
        <w:t>y</w:t>
      </w:r>
      <w:r w:rsidRPr="00423ADB">
        <w:rPr>
          <w:rFonts w:ascii="Arial" w:hAnsi="Arial" w:cs="Arial"/>
        </w:rPr>
        <w:t xml:space="preserve"> a považovat ho za trh vhodný pro ex-ante regulaci a provedení analýzy relevantního trhu dle pravidel evropského regulačního rámce s cílem vyhodnotit existenci podniku/ů s významnou tržní silou a uložit případná nápravná opatření zaměřen</w:t>
      </w:r>
      <w:r w:rsidR="00AF4FFE" w:rsidRPr="00423ADB">
        <w:rPr>
          <w:rFonts w:ascii="Arial" w:hAnsi="Arial" w:cs="Arial"/>
        </w:rPr>
        <w:t>á</w:t>
      </w:r>
      <w:r w:rsidRPr="00423ADB">
        <w:rPr>
          <w:rFonts w:ascii="Arial" w:hAnsi="Arial" w:cs="Arial"/>
        </w:rPr>
        <w:t xml:space="preserve"> na možnost rozvíjet úroveň konkurence na segmentu rezidentních zákazníků.</w:t>
      </w:r>
    </w:p>
    <w:p w14:paraId="5C099C47" w14:textId="3EED8D63" w:rsidR="00CE67A7" w:rsidRPr="00423ADB" w:rsidRDefault="00CE67A7" w:rsidP="00A12184">
      <w:pPr>
        <w:jc w:val="center"/>
        <w:rPr>
          <w:rFonts w:ascii="Arial" w:hAnsi="Arial" w:cs="Arial"/>
        </w:rPr>
      </w:pPr>
      <w:r w:rsidRPr="00423ADB">
        <w:rPr>
          <w:rFonts w:ascii="Arial" w:hAnsi="Arial" w:cs="Arial"/>
        </w:rPr>
        <w:t>****</w:t>
      </w:r>
    </w:p>
    <w:p w14:paraId="4425FD84" w14:textId="0E76A6C7" w:rsidR="00567B59" w:rsidRPr="00423ADB" w:rsidRDefault="000D59F3" w:rsidP="0007355F">
      <w:pPr>
        <w:ind w:firstLine="708"/>
        <w:jc w:val="both"/>
        <w:rPr>
          <w:rFonts w:ascii="Arial" w:hAnsi="Arial" w:cs="Arial"/>
        </w:rPr>
      </w:pPr>
      <w:r w:rsidRPr="00423ADB">
        <w:rPr>
          <w:rFonts w:ascii="Arial" w:hAnsi="Arial" w:cs="Arial"/>
        </w:rPr>
        <w:t xml:space="preserve">Na základě výše uvedeného rozhodla Rada Úřadu o doplnění RT </w:t>
      </w:r>
      <w:r w:rsidR="00CE67A7" w:rsidRPr="00423ADB">
        <w:rPr>
          <w:rFonts w:ascii="Arial" w:hAnsi="Arial" w:cs="Arial"/>
        </w:rPr>
        <w:t>5</w:t>
      </w:r>
      <w:r w:rsidRPr="00423ADB">
        <w:rPr>
          <w:rFonts w:ascii="Arial" w:hAnsi="Arial" w:cs="Arial"/>
        </w:rPr>
        <w:t xml:space="preserve"> do opatření obecné povahy č. </w:t>
      </w:r>
      <w:r w:rsidR="00CE67A7" w:rsidRPr="00423ADB">
        <w:rPr>
          <w:rFonts w:ascii="Arial" w:hAnsi="Arial" w:cs="Arial"/>
        </w:rPr>
        <w:t>OOP/1/04.2015-2</w:t>
      </w:r>
      <w:r w:rsidRPr="00423ADB">
        <w:rPr>
          <w:rFonts w:ascii="Arial" w:hAnsi="Arial" w:cs="Arial"/>
        </w:rPr>
        <w:t>, jak je uvedeno ve výroku tohoto opatření obecné povahy.</w:t>
      </w:r>
    </w:p>
    <w:p w14:paraId="3707F1E9" w14:textId="3A55DE17" w:rsidR="00CE67A7" w:rsidRPr="00423ADB" w:rsidRDefault="00CE67A7" w:rsidP="00A12184">
      <w:pPr>
        <w:jc w:val="center"/>
        <w:rPr>
          <w:rFonts w:ascii="Arial" w:hAnsi="Arial" w:cs="Arial"/>
        </w:rPr>
      </w:pPr>
      <w:r w:rsidRPr="00423ADB">
        <w:rPr>
          <w:rFonts w:ascii="Arial" w:hAnsi="Arial" w:cs="Arial"/>
        </w:rPr>
        <w:t>****</w:t>
      </w:r>
    </w:p>
    <w:p w14:paraId="383741D1" w14:textId="51B05B2B" w:rsidR="00D12C80" w:rsidRPr="00423ADB" w:rsidRDefault="00D12C80" w:rsidP="005D4CBE">
      <w:pPr>
        <w:suppressLineNumbers/>
        <w:jc w:val="both"/>
        <w:rPr>
          <w:rFonts w:ascii="Arial" w:hAnsi="Arial" w:cs="Arial"/>
          <w:i/>
          <w:szCs w:val="20"/>
        </w:rPr>
      </w:pPr>
      <w:r w:rsidRPr="00423ADB">
        <w:rPr>
          <w:rFonts w:ascii="Arial" w:hAnsi="Arial" w:cs="Arial"/>
          <w:i/>
          <w:szCs w:val="20"/>
        </w:rPr>
        <w:t>Na základě § 130 Zákona a podle Pravidel Českého telekomunikačního úřadu pro vedení konzultací na diskusním místě správní orgán zveřejnil návrh opatření a výzvu k uplatnění připomínek k návrhu opatření na diskusním místě dne</w:t>
      </w:r>
      <w:r w:rsidR="00530D8E" w:rsidRPr="00423ADB">
        <w:rPr>
          <w:rFonts w:ascii="Arial" w:hAnsi="Arial" w:cs="Arial"/>
          <w:i/>
          <w:szCs w:val="20"/>
        </w:rPr>
        <w:t xml:space="preserve"> ……………………</w:t>
      </w:r>
    </w:p>
    <w:p w14:paraId="56F3E962" w14:textId="5A925AE3" w:rsidR="00D12C80" w:rsidRPr="00423ADB" w:rsidRDefault="00D12C80" w:rsidP="005D4CBE">
      <w:pPr>
        <w:suppressLineNumbers/>
        <w:jc w:val="both"/>
        <w:rPr>
          <w:rFonts w:ascii="Arial" w:hAnsi="Arial" w:cs="Arial"/>
          <w:i/>
          <w:szCs w:val="20"/>
        </w:rPr>
      </w:pPr>
      <w:r w:rsidRPr="00423ADB">
        <w:rPr>
          <w:rFonts w:ascii="Arial" w:hAnsi="Arial" w:cs="Arial"/>
          <w:i/>
          <w:szCs w:val="20"/>
        </w:rPr>
        <w:t xml:space="preserve">V rámci veřejné konzultace obdržel správní orgán připomínky, které </w:t>
      </w:r>
      <w:r w:rsidR="00785374" w:rsidRPr="00423ADB">
        <w:rPr>
          <w:rFonts w:ascii="Arial" w:hAnsi="Arial" w:cs="Arial"/>
          <w:i/>
          <w:szCs w:val="20"/>
        </w:rPr>
        <w:t>……………………</w:t>
      </w:r>
    </w:p>
    <w:p w14:paraId="664D4AB0" w14:textId="0751E418" w:rsidR="00D12C80" w:rsidRPr="00423ADB" w:rsidRDefault="00D12C80" w:rsidP="005D4CBE">
      <w:pPr>
        <w:suppressLineNumbers/>
        <w:jc w:val="both"/>
        <w:rPr>
          <w:rFonts w:ascii="Arial" w:hAnsi="Arial" w:cs="Arial"/>
          <w:i/>
          <w:szCs w:val="20"/>
        </w:rPr>
      </w:pPr>
      <w:r w:rsidRPr="00423ADB">
        <w:rPr>
          <w:rFonts w:ascii="Arial" w:hAnsi="Arial" w:cs="Arial"/>
          <w:i/>
          <w:szCs w:val="20"/>
        </w:rPr>
        <w:t>Na základě připomínek dotčených subjektů byly upraveny ……………………</w:t>
      </w:r>
    </w:p>
    <w:p w14:paraId="3E3725F8" w14:textId="41DB3354" w:rsidR="00D12C80" w:rsidRPr="00423ADB" w:rsidRDefault="00D12C80" w:rsidP="005D4CBE">
      <w:pPr>
        <w:suppressLineNumbers/>
        <w:jc w:val="both"/>
        <w:rPr>
          <w:rFonts w:ascii="Arial" w:hAnsi="Arial" w:cs="Arial"/>
          <w:i/>
          <w:szCs w:val="20"/>
        </w:rPr>
      </w:pPr>
      <w:r w:rsidRPr="00423ADB">
        <w:rPr>
          <w:rFonts w:ascii="Arial" w:hAnsi="Arial" w:cs="Arial"/>
          <w:i/>
          <w:szCs w:val="20"/>
        </w:rPr>
        <w:t>V tabulce vypořádání připomínek zveřejněné na diskusním místě je uvedeno znění všech připomínek a jejich vypořádání.</w:t>
      </w:r>
    </w:p>
    <w:p w14:paraId="65E3254F" w14:textId="0AFA4642" w:rsidR="000F7A61" w:rsidRPr="00423ADB" w:rsidRDefault="00D12C80" w:rsidP="005D4CBE">
      <w:pPr>
        <w:suppressLineNumbers/>
        <w:jc w:val="both"/>
        <w:rPr>
          <w:rFonts w:ascii="Arial" w:hAnsi="Arial" w:cs="Arial"/>
          <w:i/>
          <w:szCs w:val="20"/>
        </w:rPr>
      </w:pPr>
      <w:r w:rsidRPr="00423ADB">
        <w:rPr>
          <w:rFonts w:ascii="Arial" w:hAnsi="Arial" w:cs="Arial"/>
          <w:i/>
          <w:szCs w:val="20"/>
        </w:rPr>
        <w:t xml:space="preserve">Úřad podle § 130 odst. 3 Zákona konzultoval text návrhu tohoto opatření s Úřadem pro ochranu hospodářské soutěže (dále jen „ÚOHS“). Předseda ÚOHS dopisem ze dne </w:t>
      </w:r>
      <w:r w:rsidR="00530D8E" w:rsidRPr="00423ADB">
        <w:rPr>
          <w:rFonts w:ascii="Arial" w:hAnsi="Arial" w:cs="Arial"/>
          <w:i/>
          <w:szCs w:val="20"/>
        </w:rPr>
        <w:t>……………………</w:t>
      </w:r>
      <w:r w:rsidRPr="00423ADB">
        <w:rPr>
          <w:rFonts w:ascii="Arial" w:hAnsi="Arial" w:cs="Arial"/>
          <w:i/>
          <w:szCs w:val="20"/>
        </w:rPr>
        <w:t xml:space="preserve"> sdělil, že ………………</w:t>
      </w:r>
    </w:p>
    <w:p w14:paraId="561B3CF6" w14:textId="0D33E3D1" w:rsidR="000F7A61" w:rsidRPr="00423ADB" w:rsidRDefault="000F7A61" w:rsidP="000F7A61">
      <w:pPr>
        <w:suppressLineNumbers/>
        <w:rPr>
          <w:rFonts w:ascii="Arial" w:hAnsi="Arial" w:cs="Arial"/>
          <w:szCs w:val="20"/>
        </w:rPr>
      </w:pPr>
    </w:p>
    <w:p w14:paraId="1AB771B0" w14:textId="0A913F96" w:rsidR="003F463E" w:rsidRPr="00423ADB" w:rsidRDefault="003F463E" w:rsidP="000F7A61">
      <w:pPr>
        <w:suppressLineNumbers/>
        <w:rPr>
          <w:rFonts w:ascii="Arial" w:hAnsi="Arial" w:cs="Arial"/>
          <w:szCs w:val="20"/>
        </w:rPr>
      </w:pPr>
    </w:p>
    <w:p w14:paraId="01411E62" w14:textId="77777777" w:rsidR="003F463E" w:rsidRPr="00423ADB" w:rsidRDefault="003F463E" w:rsidP="000F7A61">
      <w:pPr>
        <w:suppressLineNumbers/>
        <w:rPr>
          <w:rFonts w:ascii="Arial" w:hAnsi="Arial" w:cs="Arial"/>
          <w:szCs w:val="20"/>
        </w:rPr>
      </w:pPr>
    </w:p>
    <w:p w14:paraId="6DFE8D78" w14:textId="53EF41BF" w:rsidR="000F7A61" w:rsidRPr="00423ADB" w:rsidRDefault="00BA6995" w:rsidP="00BA6995">
      <w:pPr>
        <w:suppressLineNumbers/>
        <w:tabs>
          <w:tab w:val="center" w:pos="6521"/>
        </w:tabs>
        <w:spacing w:after="0"/>
        <w:rPr>
          <w:rFonts w:ascii="Arial" w:hAnsi="Arial" w:cs="Arial"/>
          <w:szCs w:val="20"/>
        </w:rPr>
      </w:pPr>
      <w:r w:rsidRPr="00423ADB">
        <w:rPr>
          <w:rFonts w:ascii="Arial" w:hAnsi="Arial" w:cs="Arial"/>
        </w:rPr>
        <w:tab/>
      </w:r>
      <w:r w:rsidR="000F7A61" w:rsidRPr="00423ADB">
        <w:rPr>
          <w:rFonts w:ascii="Arial" w:hAnsi="Arial" w:cs="Arial"/>
        </w:rPr>
        <w:t>Za Radu Českého telekomunikačního Úřadu:</w:t>
      </w:r>
    </w:p>
    <w:p w14:paraId="59862835" w14:textId="1CBA133B" w:rsidR="000F7A61" w:rsidRPr="00423ADB" w:rsidRDefault="00BA6995" w:rsidP="00BA6995">
      <w:pPr>
        <w:tabs>
          <w:tab w:val="center" w:pos="6521"/>
          <w:tab w:val="decimal" w:pos="6840"/>
        </w:tabs>
        <w:spacing w:after="0"/>
        <w:rPr>
          <w:rFonts w:ascii="Arial" w:hAnsi="Arial" w:cs="Arial"/>
          <w:szCs w:val="20"/>
        </w:rPr>
      </w:pPr>
      <w:r w:rsidRPr="00423ADB">
        <w:rPr>
          <w:rFonts w:ascii="Arial" w:hAnsi="Arial" w:cs="Arial"/>
          <w:szCs w:val="20"/>
        </w:rPr>
        <w:tab/>
      </w:r>
      <w:r w:rsidR="00B60F0C" w:rsidRPr="00423ADB">
        <w:rPr>
          <w:rFonts w:ascii="Arial" w:hAnsi="Arial" w:cs="Arial"/>
          <w:szCs w:val="20"/>
        </w:rPr>
        <w:t>Ing. Mgr. Jaromír Novák</w:t>
      </w:r>
    </w:p>
    <w:p w14:paraId="0AC15D96" w14:textId="298085EB" w:rsidR="000F7A61" w:rsidRPr="00423ADB" w:rsidRDefault="00BA6995" w:rsidP="00BA6995">
      <w:pPr>
        <w:tabs>
          <w:tab w:val="center" w:pos="6521"/>
          <w:tab w:val="decimal" w:pos="6840"/>
        </w:tabs>
        <w:spacing w:after="0"/>
        <w:rPr>
          <w:rFonts w:ascii="Arial" w:hAnsi="Arial" w:cs="Arial"/>
          <w:szCs w:val="20"/>
        </w:rPr>
      </w:pPr>
      <w:r w:rsidRPr="00423ADB">
        <w:rPr>
          <w:rFonts w:ascii="Arial" w:hAnsi="Arial" w:cs="Arial"/>
          <w:szCs w:val="20"/>
        </w:rPr>
        <w:tab/>
      </w:r>
      <w:r w:rsidR="000F7A61" w:rsidRPr="00423ADB">
        <w:rPr>
          <w:rFonts w:ascii="Arial" w:hAnsi="Arial" w:cs="Arial"/>
          <w:szCs w:val="20"/>
        </w:rPr>
        <w:t>předseda Rady</w:t>
      </w:r>
    </w:p>
    <w:p w14:paraId="7F55D47C" w14:textId="77777777" w:rsidR="00067EA8" w:rsidRPr="00423ADB" w:rsidRDefault="00BA6995" w:rsidP="00411AE4">
      <w:pPr>
        <w:tabs>
          <w:tab w:val="center" w:pos="6521"/>
          <w:tab w:val="decimal" w:pos="6840"/>
        </w:tabs>
        <w:spacing w:after="0"/>
        <w:rPr>
          <w:rFonts w:ascii="Arial" w:hAnsi="Arial" w:cs="Arial"/>
        </w:rPr>
      </w:pPr>
      <w:r w:rsidRPr="00423ADB">
        <w:rPr>
          <w:rFonts w:ascii="Arial" w:hAnsi="Arial" w:cs="Arial"/>
        </w:rPr>
        <w:tab/>
      </w:r>
      <w:r w:rsidR="000F7A61" w:rsidRPr="00423ADB">
        <w:rPr>
          <w:rFonts w:ascii="Arial" w:hAnsi="Arial" w:cs="Arial"/>
        </w:rPr>
        <w:t>Českého telekomunikačního úřadu</w:t>
      </w:r>
    </w:p>
    <w:p w14:paraId="26986066" w14:textId="77777777" w:rsidR="00067EA8" w:rsidRPr="00423ADB" w:rsidRDefault="00067EA8">
      <w:pPr>
        <w:spacing w:after="160" w:line="259" w:lineRule="auto"/>
        <w:rPr>
          <w:rFonts w:ascii="Arial" w:hAnsi="Arial" w:cs="Arial"/>
        </w:rPr>
      </w:pPr>
      <w:r w:rsidRPr="00423ADB">
        <w:rPr>
          <w:rFonts w:ascii="Arial" w:hAnsi="Arial" w:cs="Arial"/>
        </w:rPr>
        <w:br w:type="page"/>
      </w:r>
    </w:p>
    <w:p w14:paraId="1A71BC1C" w14:textId="54355858" w:rsidR="00067EA8" w:rsidRPr="00423ADB" w:rsidRDefault="00067EA8" w:rsidP="00411AE4">
      <w:pPr>
        <w:tabs>
          <w:tab w:val="center" w:pos="6521"/>
          <w:tab w:val="decimal" w:pos="6840"/>
        </w:tabs>
        <w:spacing w:after="0"/>
        <w:rPr>
          <w:rFonts w:ascii="Arial" w:hAnsi="Arial" w:cs="Arial"/>
        </w:rPr>
      </w:pPr>
      <w:r w:rsidRPr="00423ADB">
        <w:rPr>
          <w:rFonts w:ascii="Arial" w:hAnsi="Arial" w:cs="Arial"/>
          <w:u w:val="single"/>
        </w:rPr>
        <w:lastRenderedPageBreak/>
        <w:t>Příloha:</w:t>
      </w:r>
      <w:r w:rsidRPr="00423ADB">
        <w:rPr>
          <w:rFonts w:ascii="Arial" w:hAnsi="Arial" w:cs="Arial"/>
        </w:rPr>
        <w:t xml:space="preserve"> Aktualizované grafy z T3K mobilního trhu</w:t>
      </w:r>
    </w:p>
    <w:p w14:paraId="72931123" w14:textId="77777777" w:rsidR="00067EA8" w:rsidRPr="00423ADB" w:rsidRDefault="00067EA8" w:rsidP="00411AE4">
      <w:pPr>
        <w:tabs>
          <w:tab w:val="center" w:pos="6521"/>
          <w:tab w:val="decimal" w:pos="6840"/>
        </w:tabs>
        <w:spacing w:after="0"/>
        <w:rPr>
          <w:rFonts w:ascii="Arial" w:hAnsi="Arial" w:cs="Arial"/>
        </w:rPr>
      </w:pPr>
    </w:p>
    <w:p w14:paraId="0F055884" w14:textId="075416E2" w:rsidR="00067EA8" w:rsidRPr="00423ADB" w:rsidRDefault="00067EA8" w:rsidP="00067EA8">
      <w:pPr>
        <w:keepNext/>
        <w:keepLines/>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1</w:t>
      </w:r>
      <w:r w:rsidRPr="00423ADB">
        <w:rPr>
          <w:rFonts w:ascii="Arial" w:hAnsi="Arial" w:cs="Arial"/>
          <w:b/>
          <w:iCs/>
        </w:rPr>
        <w:fldChar w:fldCharType="end"/>
      </w:r>
      <w:r w:rsidRPr="00423ADB">
        <w:rPr>
          <w:rFonts w:ascii="Arial" w:hAnsi="Arial" w:cs="Arial"/>
          <w:b/>
          <w:iCs/>
        </w:rPr>
        <w:t>:</w:t>
      </w:r>
      <w:r w:rsidRPr="00423ADB">
        <w:rPr>
          <w:rFonts w:ascii="Arial" w:hAnsi="Arial" w:cs="Arial"/>
          <w:b/>
          <w:i/>
          <w:iCs/>
        </w:rPr>
        <w:t xml:space="preserve"> </w:t>
      </w:r>
      <w:r w:rsidRPr="00423ADB">
        <w:rPr>
          <w:rFonts w:ascii="Arial" w:eastAsiaTheme="minorHAnsi" w:hAnsi="Arial" w:cs="Arial"/>
          <w:b/>
        </w:rPr>
        <w:t>Vývoj počtu SIM karet v jednotlivých kategoriích</w:t>
      </w:r>
    </w:p>
    <w:p w14:paraId="5B216989" w14:textId="77777777" w:rsidR="00067EA8" w:rsidRPr="00423ADB" w:rsidRDefault="00067EA8" w:rsidP="00067EA8">
      <w:pPr>
        <w:spacing w:before="480" w:after="240"/>
        <w:jc w:val="both"/>
        <w:rPr>
          <w:rFonts w:ascii="Arial" w:hAnsi="Arial" w:cs="Arial"/>
        </w:rPr>
      </w:pPr>
      <w:r w:rsidRPr="00423ADB">
        <w:rPr>
          <w:rFonts w:ascii="Arial" w:eastAsiaTheme="minorHAnsi" w:hAnsi="Arial" w:cs="Arial"/>
          <w:noProof/>
          <w:sz w:val="20"/>
          <w:szCs w:val="20"/>
        </w:rPr>
        <w:drawing>
          <wp:inline distT="0" distB="0" distL="0" distR="0" wp14:anchorId="093FCAD0" wp14:editId="6F54562A">
            <wp:extent cx="5749290" cy="3846830"/>
            <wp:effectExtent l="0" t="0" r="3810"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290" cy="3846830"/>
                    </a:xfrm>
                    <a:prstGeom prst="rect">
                      <a:avLst/>
                    </a:prstGeom>
                    <a:noFill/>
                  </pic:spPr>
                </pic:pic>
              </a:graphicData>
            </a:graphic>
          </wp:inline>
        </w:drawing>
      </w:r>
      <w:r w:rsidRPr="00423ADB">
        <w:rPr>
          <w:rFonts w:ascii="Arial" w:eastAsiaTheme="minorHAnsi" w:hAnsi="Arial" w:cs="Arial"/>
          <w:sz w:val="20"/>
          <w:szCs w:val="20"/>
        </w:rPr>
        <w:t>Zdroj: ČTÚ</w:t>
      </w:r>
    </w:p>
    <w:p w14:paraId="2BDAA5B5" w14:textId="77777777" w:rsidR="00067EA8" w:rsidRPr="00423ADB" w:rsidRDefault="00067EA8" w:rsidP="00067EA8">
      <w:pPr>
        <w:spacing w:after="160" w:line="259" w:lineRule="auto"/>
        <w:rPr>
          <w:rFonts w:ascii="Arial" w:eastAsiaTheme="minorHAnsi" w:hAnsi="Arial" w:cs="Arial"/>
          <w:b/>
        </w:rPr>
      </w:pPr>
    </w:p>
    <w:p w14:paraId="7E13CAAC" w14:textId="623553A1" w:rsidR="00067EA8" w:rsidRPr="00423ADB" w:rsidRDefault="00067EA8" w:rsidP="00067EA8">
      <w:pPr>
        <w:pStyle w:val="Titulek"/>
        <w:keepNext/>
        <w:rPr>
          <w:rFonts w:ascii="Arial" w:hAnsi="Arial" w:cs="Arial"/>
          <w:b/>
          <w:i w:val="0"/>
          <w:iCs w:val="0"/>
          <w:color w:val="auto"/>
          <w:sz w:val="22"/>
          <w:szCs w:val="22"/>
        </w:rPr>
      </w:pPr>
      <w:r w:rsidRPr="00423ADB">
        <w:rPr>
          <w:rFonts w:ascii="Arial" w:hAnsi="Arial" w:cs="Arial"/>
          <w:b/>
          <w:i w:val="0"/>
          <w:iCs w:val="0"/>
          <w:color w:val="auto"/>
          <w:sz w:val="22"/>
          <w:szCs w:val="22"/>
        </w:rPr>
        <w:lastRenderedPageBreak/>
        <w:t xml:space="preserve">Graf č. </w:t>
      </w:r>
      <w:r w:rsidRPr="00423ADB">
        <w:rPr>
          <w:rFonts w:ascii="Arial" w:hAnsi="Arial" w:cs="Arial"/>
          <w:b/>
          <w:i w:val="0"/>
          <w:iCs w:val="0"/>
          <w:color w:val="auto"/>
          <w:sz w:val="22"/>
          <w:szCs w:val="22"/>
        </w:rPr>
        <w:fldChar w:fldCharType="begin"/>
      </w:r>
      <w:r w:rsidRPr="00423ADB">
        <w:rPr>
          <w:rFonts w:ascii="Arial" w:hAnsi="Arial" w:cs="Arial"/>
          <w:b/>
          <w:i w:val="0"/>
          <w:iCs w:val="0"/>
          <w:color w:val="auto"/>
          <w:sz w:val="22"/>
          <w:szCs w:val="22"/>
        </w:rPr>
        <w:instrText xml:space="preserve"> SEQ Graf \* ARABIC </w:instrText>
      </w:r>
      <w:r w:rsidRPr="00423ADB">
        <w:rPr>
          <w:rFonts w:ascii="Arial" w:hAnsi="Arial" w:cs="Arial"/>
          <w:b/>
          <w:i w:val="0"/>
          <w:iCs w:val="0"/>
          <w:color w:val="auto"/>
          <w:sz w:val="22"/>
          <w:szCs w:val="22"/>
        </w:rPr>
        <w:fldChar w:fldCharType="separate"/>
      </w:r>
      <w:r w:rsidR="00F9308E" w:rsidRPr="00423ADB">
        <w:rPr>
          <w:rFonts w:ascii="Arial" w:hAnsi="Arial" w:cs="Arial"/>
          <w:b/>
          <w:i w:val="0"/>
          <w:iCs w:val="0"/>
          <w:noProof/>
          <w:color w:val="auto"/>
          <w:sz w:val="22"/>
          <w:szCs w:val="22"/>
        </w:rPr>
        <w:t>2</w:t>
      </w:r>
      <w:r w:rsidRPr="00423ADB">
        <w:rPr>
          <w:rFonts w:ascii="Arial" w:hAnsi="Arial" w:cs="Arial"/>
          <w:b/>
          <w:i w:val="0"/>
          <w:iCs w:val="0"/>
          <w:color w:val="auto"/>
          <w:sz w:val="22"/>
          <w:szCs w:val="22"/>
        </w:rPr>
        <w:fldChar w:fldCharType="end"/>
      </w:r>
      <w:r w:rsidRPr="00423ADB">
        <w:rPr>
          <w:rFonts w:ascii="Arial" w:hAnsi="Arial" w:cs="Arial"/>
          <w:b/>
          <w:i w:val="0"/>
          <w:iCs w:val="0"/>
          <w:color w:val="auto"/>
          <w:sz w:val="22"/>
          <w:szCs w:val="22"/>
        </w:rPr>
        <w:t>: Vývoj průměrné ceny za minutu, SMS a MB bez DPH (nově přidaný graf)</w:t>
      </w:r>
    </w:p>
    <w:p w14:paraId="585311FB" w14:textId="77777777" w:rsidR="00067EA8" w:rsidRPr="00423ADB" w:rsidRDefault="00067EA8" w:rsidP="00067EA8">
      <w:pPr>
        <w:keepNext/>
        <w:spacing w:after="160" w:line="259" w:lineRule="auto"/>
        <w:rPr>
          <w:rFonts w:ascii="Arial" w:eastAsiaTheme="minorHAnsi" w:hAnsi="Arial" w:cs="Arial"/>
          <w:sz w:val="20"/>
          <w:szCs w:val="20"/>
        </w:rPr>
      </w:pPr>
      <w:r w:rsidRPr="00423ADB">
        <w:rPr>
          <w:rFonts w:ascii="Arial" w:eastAsiaTheme="minorHAnsi" w:hAnsi="Arial" w:cs="Arial"/>
          <w:noProof/>
          <w:sz w:val="20"/>
          <w:szCs w:val="20"/>
        </w:rPr>
        <w:drawing>
          <wp:inline distT="0" distB="0" distL="0" distR="0" wp14:anchorId="117A89D7" wp14:editId="2506A4E5">
            <wp:extent cx="5767070" cy="3225165"/>
            <wp:effectExtent l="0" t="0" r="508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070" cy="3225165"/>
                    </a:xfrm>
                    <a:prstGeom prst="rect">
                      <a:avLst/>
                    </a:prstGeom>
                    <a:noFill/>
                  </pic:spPr>
                </pic:pic>
              </a:graphicData>
            </a:graphic>
          </wp:inline>
        </w:drawing>
      </w:r>
      <w:r w:rsidRPr="00423ADB">
        <w:rPr>
          <w:rFonts w:ascii="Arial" w:eastAsiaTheme="minorHAnsi" w:hAnsi="Arial" w:cs="Arial"/>
          <w:sz w:val="20"/>
          <w:szCs w:val="20"/>
        </w:rPr>
        <w:t>Zdroj: ČTÚ</w:t>
      </w:r>
    </w:p>
    <w:p w14:paraId="05E5C0CD" w14:textId="77777777" w:rsidR="00067EA8" w:rsidRPr="00423ADB" w:rsidRDefault="00067EA8" w:rsidP="00067EA8">
      <w:pPr>
        <w:keepNext/>
        <w:spacing w:after="160" w:line="259" w:lineRule="auto"/>
        <w:rPr>
          <w:rFonts w:ascii="Arial" w:eastAsiaTheme="minorHAnsi" w:hAnsi="Arial" w:cs="Arial"/>
          <w:b/>
          <w:sz w:val="20"/>
          <w:szCs w:val="20"/>
          <w:u w:val="single"/>
        </w:rPr>
      </w:pPr>
    </w:p>
    <w:p w14:paraId="5A221A30" w14:textId="77777777" w:rsidR="00067EA8" w:rsidRPr="00423ADB" w:rsidRDefault="00067EA8" w:rsidP="00067EA8">
      <w:pPr>
        <w:keepNext/>
        <w:spacing w:after="160" w:line="259" w:lineRule="auto"/>
        <w:rPr>
          <w:rFonts w:ascii="Arial" w:eastAsiaTheme="minorHAnsi" w:hAnsi="Arial" w:cs="Arial"/>
          <w:b/>
          <w:u w:val="single"/>
        </w:rPr>
      </w:pPr>
      <w:r w:rsidRPr="00423ADB">
        <w:rPr>
          <w:rFonts w:ascii="Arial" w:eastAsiaTheme="minorHAnsi" w:hAnsi="Arial" w:cs="Arial"/>
          <w:b/>
          <w:u w:val="single"/>
        </w:rPr>
        <w:t>Tržní podíly – segment A</w:t>
      </w:r>
    </w:p>
    <w:p w14:paraId="69539999" w14:textId="77777777" w:rsidR="00067EA8" w:rsidRPr="00423ADB" w:rsidRDefault="00067EA8" w:rsidP="00067EA8">
      <w:pPr>
        <w:keepNext/>
        <w:spacing w:after="160" w:line="259" w:lineRule="auto"/>
        <w:rPr>
          <w:rFonts w:ascii="Arial" w:eastAsiaTheme="minorHAnsi" w:hAnsi="Arial" w:cs="Arial"/>
          <w:b/>
          <w:u w:val="single"/>
        </w:rPr>
      </w:pPr>
    </w:p>
    <w:p w14:paraId="47386D94" w14:textId="4F3066B3"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3</w:t>
      </w:r>
      <w:r w:rsidRPr="00423ADB">
        <w:rPr>
          <w:rFonts w:ascii="Arial" w:hAnsi="Arial" w:cs="Arial"/>
          <w:b/>
          <w:iCs/>
        </w:rPr>
        <w:fldChar w:fldCharType="end"/>
      </w:r>
      <w:r w:rsidRPr="00423ADB">
        <w:rPr>
          <w:rFonts w:ascii="Arial" w:hAnsi="Arial" w:cs="Arial"/>
          <w:b/>
          <w:iCs/>
        </w:rPr>
        <w:t>:</w:t>
      </w:r>
      <w:r w:rsidRPr="00423ADB">
        <w:rPr>
          <w:rFonts w:ascii="Arial" w:hAnsi="Arial" w:cs="Arial"/>
          <w:b/>
          <w:i/>
          <w:iCs/>
        </w:rPr>
        <w:t xml:space="preserve"> </w:t>
      </w:r>
      <w:r w:rsidRPr="00423ADB">
        <w:rPr>
          <w:rFonts w:ascii="Arial" w:eastAsiaTheme="minorHAnsi" w:hAnsi="Arial" w:cs="Arial"/>
          <w:b/>
        </w:rPr>
        <w:t>Vývoj maloobchodních tržních podílů na základě počtu SIM karet na segmentu A</w:t>
      </w:r>
      <w:r w:rsidRPr="00423ADB">
        <w:rPr>
          <w:rFonts w:ascii="Arial" w:eastAsiaTheme="minorHAnsi" w:hAnsi="Arial" w:cs="Arial"/>
          <w:sz w:val="20"/>
          <w:szCs w:val="20"/>
        </w:rPr>
        <w:t xml:space="preserve"> </w:t>
      </w:r>
    </w:p>
    <w:p w14:paraId="5AD0AF4A" w14:textId="77777777" w:rsidR="00067EA8" w:rsidRPr="00423ADB" w:rsidRDefault="00067EA8" w:rsidP="00067EA8">
      <w:pPr>
        <w:spacing w:after="160" w:line="259" w:lineRule="auto"/>
        <w:rPr>
          <w:rFonts w:ascii="Arial" w:eastAsiaTheme="minorHAnsi" w:hAnsi="Arial" w:cs="Arial"/>
          <w:b/>
          <w:highlight w:val="yellow"/>
        </w:rPr>
      </w:pPr>
      <w:r w:rsidRPr="00423ADB">
        <w:rPr>
          <w:rFonts w:ascii="Arial" w:eastAsiaTheme="minorHAnsi" w:hAnsi="Arial" w:cs="Arial"/>
          <w:noProof/>
          <w:sz w:val="20"/>
          <w:szCs w:val="20"/>
        </w:rPr>
        <w:drawing>
          <wp:inline distT="0" distB="0" distL="0" distR="0" wp14:anchorId="0AF0A9FB" wp14:editId="4DB5ABEB">
            <wp:extent cx="5736590" cy="3048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3048000"/>
                    </a:xfrm>
                    <a:prstGeom prst="rect">
                      <a:avLst/>
                    </a:prstGeom>
                    <a:noFill/>
                  </pic:spPr>
                </pic:pic>
              </a:graphicData>
            </a:graphic>
          </wp:inline>
        </w:drawing>
      </w:r>
      <w:r w:rsidRPr="00423ADB">
        <w:rPr>
          <w:rFonts w:ascii="Arial" w:eastAsiaTheme="minorHAnsi" w:hAnsi="Arial" w:cs="Arial"/>
          <w:sz w:val="20"/>
          <w:szCs w:val="20"/>
        </w:rPr>
        <w:t>Zdroj: ČTÚ</w:t>
      </w:r>
    </w:p>
    <w:p w14:paraId="12E192A3" w14:textId="2B22B19B" w:rsidR="00067EA8" w:rsidRPr="00423ADB" w:rsidRDefault="00067EA8" w:rsidP="00067EA8">
      <w:pPr>
        <w:keepNext/>
        <w:spacing w:after="160" w:line="259" w:lineRule="auto"/>
        <w:rPr>
          <w:rFonts w:ascii="Arial" w:eastAsiaTheme="minorHAnsi" w:hAnsi="Arial" w:cs="Arial"/>
          <w:b/>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4</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Tržní podíly na maloobchodním trhu na segmentu A k 31. 12. 2018</w:t>
      </w:r>
    </w:p>
    <w:p w14:paraId="72C32824" w14:textId="77777777" w:rsidR="00067EA8" w:rsidRPr="00423ADB" w:rsidRDefault="00067EA8" w:rsidP="00067EA8">
      <w:pPr>
        <w:spacing w:after="160" w:line="259" w:lineRule="auto"/>
        <w:rPr>
          <w:rFonts w:ascii="Arial" w:eastAsiaTheme="minorHAnsi" w:hAnsi="Arial" w:cs="Arial"/>
          <w:b/>
          <w:i/>
        </w:rPr>
      </w:pPr>
      <w:r w:rsidRPr="00423ADB">
        <w:rPr>
          <w:rFonts w:ascii="Arial" w:eastAsiaTheme="minorHAnsi" w:hAnsi="Arial" w:cs="Arial"/>
          <w:noProof/>
          <w:sz w:val="20"/>
          <w:szCs w:val="20"/>
        </w:rPr>
        <w:drawing>
          <wp:inline distT="0" distB="0" distL="0" distR="0" wp14:anchorId="4D9136E1" wp14:editId="56F32DC7">
            <wp:extent cx="5736590" cy="2780030"/>
            <wp:effectExtent l="0" t="0" r="0" b="127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2780030"/>
                    </a:xfrm>
                    <a:prstGeom prst="rect">
                      <a:avLst/>
                    </a:prstGeom>
                    <a:noFill/>
                  </pic:spPr>
                </pic:pic>
              </a:graphicData>
            </a:graphic>
          </wp:inline>
        </w:drawing>
      </w:r>
      <w:r w:rsidRPr="00423ADB">
        <w:rPr>
          <w:rFonts w:ascii="Arial" w:eastAsiaTheme="minorHAnsi" w:hAnsi="Arial" w:cs="Arial"/>
          <w:sz w:val="20"/>
          <w:szCs w:val="20"/>
        </w:rPr>
        <w:t xml:space="preserve"> Zdroj: ČTÚ</w:t>
      </w:r>
    </w:p>
    <w:p w14:paraId="43E7DE5F" w14:textId="00E27D9F"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5</w:t>
      </w:r>
      <w:r w:rsidRPr="00423ADB">
        <w:rPr>
          <w:rFonts w:ascii="Arial" w:hAnsi="Arial" w:cs="Arial"/>
          <w:b/>
          <w:iCs/>
        </w:rPr>
        <w:fldChar w:fldCharType="end"/>
      </w:r>
      <w:r w:rsidRPr="00423ADB">
        <w:rPr>
          <w:rFonts w:ascii="Arial" w:hAnsi="Arial" w:cs="Arial"/>
          <w:b/>
          <w:iCs/>
        </w:rPr>
        <w:t>:</w:t>
      </w:r>
      <w:r w:rsidRPr="00423ADB">
        <w:rPr>
          <w:rFonts w:ascii="Arial" w:hAnsi="Arial" w:cs="Arial"/>
          <w:b/>
          <w:i/>
          <w:iCs/>
        </w:rPr>
        <w:t xml:space="preserve"> </w:t>
      </w:r>
      <w:r w:rsidRPr="00423ADB">
        <w:rPr>
          <w:rFonts w:ascii="Arial" w:eastAsiaTheme="minorHAnsi" w:hAnsi="Arial" w:cs="Arial"/>
          <w:b/>
        </w:rPr>
        <w:t>Vývoj maloobchodních tržních podílů na základě počtu SIM karet na segmentu A se zahrnutím podílu majetkově propojených MVNO do podílu příslušných MNO</w:t>
      </w:r>
      <w:r w:rsidRPr="00423ADB">
        <w:rPr>
          <w:rFonts w:ascii="Arial" w:eastAsiaTheme="minorHAnsi" w:hAnsi="Arial" w:cs="Arial"/>
          <w:sz w:val="20"/>
          <w:szCs w:val="20"/>
        </w:rPr>
        <w:t xml:space="preserve"> </w:t>
      </w:r>
    </w:p>
    <w:p w14:paraId="314AAE91" w14:textId="77777777" w:rsidR="00067EA8" w:rsidRPr="00423ADB" w:rsidRDefault="00067EA8" w:rsidP="00067EA8">
      <w:pPr>
        <w:pStyle w:val="Titulek"/>
        <w:keepNext/>
        <w:rPr>
          <w:rFonts w:ascii="Arial" w:hAnsi="Arial" w:cs="Arial"/>
          <w:b/>
          <w:i w:val="0"/>
          <w:iCs w:val="0"/>
          <w:color w:val="auto"/>
          <w:sz w:val="22"/>
          <w:szCs w:val="22"/>
        </w:rPr>
      </w:pPr>
    </w:p>
    <w:p w14:paraId="1917B22A" w14:textId="77777777" w:rsidR="00067EA8" w:rsidRPr="00423ADB" w:rsidRDefault="00067EA8" w:rsidP="00067EA8">
      <w:pPr>
        <w:spacing w:after="160" w:line="259" w:lineRule="auto"/>
        <w:rPr>
          <w:rFonts w:ascii="Arial" w:eastAsiaTheme="minorHAnsi" w:hAnsi="Arial" w:cs="Arial"/>
          <w:b/>
          <w:highlight w:val="yellow"/>
        </w:rPr>
      </w:pPr>
      <w:r w:rsidRPr="00423ADB">
        <w:rPr>
          <w:rFonts w:ascii="Arial" w:eastAsiaTheme="minorHAnsi" w:hAnsi="Arial" w:cs="Arial"/>
          <w:noProof/>
          <w:sz w:val="20"/>
          <w:szCs w:val="20"/>
        </w:rPr>
        <w:drawing>
          <wp:inline distT="0" distB="0" distL="0" distR="0" wp14:anchorId="4A30158A" wp14:editId="31B73EB4">
            <wp:extent cx="5742940" cy="2969260"/>
            <wp:effectExtent l="0" t="0" r="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2969260"/>
                    </a:xfrm>
                    <a:prstGeom prst="rect">
                      <a:avLst/>
                    </a:prstGeom>
                    <a:noFill/>
                  </pic:spPr>
                </pic:pic>
              </a:graphicData>
            </a:graphic>
          </wp:inline>
        </w:drawing>
      </w:r>
      <w:r w:rsidRPr="00423ADB">
        <w:rPr>
          <w:rFonts w:ascii="Arial" w:eastAsiaTheme="minorHAnsi" w:hAnsi="Arial" w:cs="Arial"/>
          <w:sz w:val="20"/>
          <w:szCs w:val="20"/>
        </w:rPr>
        <w:t>Zdroj: ČTÚ</w:t>
      </w:r>
    </w:p>
    <w:p w14:paraId="3D1AC5A8" w14:textId="3AEBC8DE" w:rsidR="00067EA8" w:rsidRPr="00423ADB" w:rsidRDefault="00067EA8" w:rsidP="00067EA8">
      <w:pPr>
        <w:keepNext/>
        <w:spacing w:after="160" w:line="259" w:lineRule="auto"/>
        <w:rPr>
          <w:rFonts w:ascii="Arial" w:eastAsiaTheme="minorHAnsi" w:hAnsi="Arial" w:cs="Arial"/>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6</w:t>
      </w:r>
      <w:r w:rsidRPr="00423ADB">
        <w:rPr>
          <w:rFonts w:ascii="Arial" w:hAnsi="Arial" w:cs="Arial"/>
          <w:b/>
          <w:iCs/>
        </w:rPr>
        <w:fldChar w:fldCharType="end"/>
      </w:r>
      <w:r w:rsidRPr="00423ADB">
        <w:rPr>
          <w:rFonts w:ascii="Arial" w:hAnsi="Arial" w:cs="Arial"/>
          <w:b/>
          <w:iCs/>
        </w:rPr>
        <w:t>:</w:t>
      </w:r>
      <w:r w:rsidRPr="00423ADB">
        <w:rPr>
          <w:rFonts w:ascii="Arial" w:hAnsi="Arial" w:cs="Arial"/>
          <w:b/>
          <w:i/>
          <w:iCs/>
        </w:rPr>
        <w:t xml:space="preserve"> </w:t>
      </w:r>
      <w:r w:rsidRPr="00423ADB">
        <w:rPr>
          <w:rFonts w:ascii="Arial" w:eastAsiaTheme="minorHAnsi" w:hAnsi="Arial" w:cs="Arial"/>
          <w:b/>
        </w:rPr>
        <w:t>Vývoj maloobchodních tržních podílů u pěti největších majetkově nezávislých MVNO na segmentu A na základě počtu SIM karet</w:t>
      </w:r>
    </w:p>
    <w:p w14:paraId="471D940C" w14:textId="77777777" w:rsidR="00067EA8" w:rsidRPr="00423ADB" w:rsidRDefault="00067EA8" w:rsidP="00067EA8">
      <w:pPr>
        <w:keepNext/>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5DED449F" wp14:editId="726E81AB">
            <wp:extent cx="5401310" cy="3347085"/>
            <wp:effectExtent l="0" t="0" r="8890" b="571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3347085"/>
                    </a:xfrm>
                    <a:prstGeom prst="rect">
                      <a:avLst/>
                    </a:prstGeom>
                    <a:noFill/>
                  </pic:spPr>
                </pic:pic>
              </a:graphicData>
            </a:graphic>
          </wp:inline>
        </w:drawing>
      </w:r>
      <w:r w:rsidRPr="00423ADB">
        <w:rPr>
          <w:rFonts w:ascii="Arial" w:eastAsiaTheme="minorHAnsi" w:hAnsi="Arial" w:cs="Arial"/>
          <w:sz w:val="20"/>
          <w:szCs w:val="20"/>
        </w:rPr>
        <w:t xml:space="preserve"> Zdroj: ČTÚ</w:t>
      </w:r>
    </w:p>
    <w:p w14:paraId="54C57E47" w14:textId="13C1D46D"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rPr>
        <w:t xml:space="preserve">Graf č. </w:t>
      </w:r>
      <w:r w:rsidRPr="00423ADB">
        <w:rPr>
          <w:rFonts w:ascii="Arial" w:hAnsi="Arial" w:cs="Arial"/>
          <w:b/>
        </w:rPr>
        <w:fldChar w:fldCharType="begin"/>
      </w:r>
      <w:r w:rsidRPr="00423ADB">
        <w:rPr>
          <w:rFonts w:ascii="Arial" w:hAnsi="Arial" w:cs="Arial"/>
          <w:b/>
        </w:rPr>
        <w:instrText xml:space="preserve"> SEQ Graf \* ARABIC </w:instrText>
      </w:r>
      <w:r w:rsidRPr="00423ADB">
        <w:rPr>
          <w:rFonts w:ascii="Arial" w:hAnsi="Arial" w:cs="Arial"/>
          <w:b/>
        </w:rPr>
        <w:fldChar w:fldCharType="separate"/>
      </w:r>
      <w:r w:rsidR="00F9308E" w:rsidRPr="00423ADB">
        <w:rPr>
          <w:rFonts w:ascii="Arial" w:hAnsi="Arial" w:cs="Arial"/>
          <w:b/>
          <w:noProof/>
        </w:rPr>
        <w:t>7</w:t>
      </w:r>
      <w:r w:rsidRPr="00423ADB">
        <w:rPr>
          <w:rFonts w:ascii="Arial" w:hAnsi="Arial" w:cs="Arial"/>
          <w:b/>
        </w:rPr>
        <w:fldChar w:fldCharType="end"/>
      </w:r>
      <w:r w:rsidRPr="00423ADB">
        <w:rPr>
          <w:rFonts w:ascii="Arial" w:hAnsi="Arial" w:cs="Arial"/>
          <w:b/>
        </w:rPr>
        <w:t xml:space="preserve">: </w:t>
      </w:r>
      <w:r w:rsidRPr="00423ADB">
        <w:rPr>
          <w:rFonts w:ascii="Arial" w:eastAsiaTheme="minorHAnsi" w:hAnsi="Arial" w:cs="Arial"/>
          <w:b/>
        </w:rPr>
        <w:t>Tržní podíly na základě počtu SIM karet na segmentu A1 k 31. 12. 2018</w:t>
      </w:r>
    </w:p>
    <w:p w14:paraId="378A558A" w14:textId="77777777" w:rsidR="00067EA8" w:rsidRPr="00423ADB" w:rsidRDefault="00067EA8" w:rsidP="00067EA8">
      <w:pPr>
        <w:keepNext/>
        <w:spacing w:after="0" w:line="259" w:lineRule="auto"/>
        <w:rPr>
          <w:rFonts w:ascii="Arial" w:eastAsiaTheme="minorHAnsi" w:hAnsi="Arial" w:cs="Arial"/>
          <w:sz w:val="20"/>
          <w:szCs w:val="20"/>
        </w:rPr>
      </w:pPr>
      <w:r w:rsidRPr="00423ADB">
        <w:rPr>
          <w:rFonts w:ascii="Arial" w:eastAsiaTheme="minorHAnsi" w:hAnsi="Arial" w:cs="Arial"/>
          <w:noProof/>
          <w:sz w:val="20"/>
          <w:szCs w:val="20"/>
        </w:rPr>
        <w:drawing>
          <wp:inline distT="0" distB="0" distL="0" distR="0" wp14:anchorId="14716B45" wp14:editId="5E2CEA24">
            <wp:extent cx="4877435" cy="2719070"/>
            <wp:effectExtent l="0" t="0" r="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7435" cy="2719070"/>
                    </a:xfrm>
                    <a:prstGeom prst="rect">
                      <a:avLst/>
                    </a:prstGeom>
                    <a:noFill/>
                  </pic:spPr>
                </pic:pic>
              </a:graphicData>
            </a:graphic>
          </wp:inline>
        </w:drawing>
      </w:r>
    </w:p>
    <w:p w14:paraId="5100709D" w14:textId="77777777" w:rsidR="00067EA8" w:rsidRPr="00423ADB" w:rsidRDefault="00067EA8" w:rsidP="00067EA8">
      <w:pPr>
        <w:spacing w:after="0" w:line="259" w:lineRule="auto"/>
        <w:rPr>
          <w:rFonts w:ascii="Arial" w:eastAsiaTheme="minorHAnsi" w:hAnsi="Arial" w:cs="Arial"/>
          <w:sz w:val="20"/>
          <w:szCs w:val="20"/>
        </w:rPr>
      </w:pPr>
      <w:r w:rsidRPr="00423ADB">
        <w:rPr>
          <w:rFonts w:ascii="Arial" w:eastAsiaTheme="minorHAnsi" w:hAnsi="Arial" w:cs="Arial"/>
          <w:sz w:val="20"/>
          <w:szCs w:val="20"/>
        </w:rPr>
        <w:t>Zdroj: ČTÚ</w:t>
      </w:r>
    </w:p>
    <w:p w14:paraId="18ED1CF1" w14:textId="77777777" w:rsidR="00067EA8" w:rsidRPr="00423ADB" w:rsidRDefault="00067EA8" w:rsidP="00067EA8">
      <w:pPr>
        <w:spacing w:after="0" w:line="259" w:lineRule="auto"/>
        <w:rPr>
          <w:rFonts w:ascii="Arial" w:eastAsiaTheme="minorHAnsi" w:hAnsi="Arial" w:cs="Arial"/>
          <w:sz w:val="20"/>
          <w:szCs w:val="20"/>
        </w:rPr>
      </w:pPr>
    </w:p>
    <w:p w14:paraId="5B7BFE39" w14:textId="3FADFFF1" w:rsidR="00067EA8" w:rsidRPr="00423ADB" w:rsidRDefault="00067EA8" w:rsidP="00067EA8">
      <w:pPr>
        <w:keepNext/>
        <w:spacing w:after="0" w:line="259" w:lineRule="auto"/>
        <w:rPr>
          <w:rFonts w:ascii="Arial" w:eastAsiaTheme="minorHAnsi" w:hAnsi="Arial" w:cs="Arial"/>
          <w:b/>
          <w:i/>
          <w:highlight w:val="red"/>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8</w:t>
      </w:r>
      <w:r w:rsidRPr="00423ADB">
        <w:rPr>
          <w:rFonts w:ascii="Arial" w:hAnsi="Arial" w:cs="Arial"/>
          <w:b/>
          <w:iCs/>
        </w:rPr>
        <w:fldChar w:fldCharType="end"/>
      </w:r>
      <w:r w:rsidRPr="00423ADB">
        <w:rPr>
          <w:rFonts w:ascii="Arial" w:hAnsi="Arial" w:cs="Arial"/>
          <w:b/>
          <w:iCs/>
        </w:rPr>
        <w:t>:</w:t>
      </w:r>
      <w:r w:rsidRPr="00423ADB">
        <w:rPr>
          <w:rFonts w:ascii="Arial" w:hAnsi="Arial" w:cs="Arial"/>
          <w:b/>
          <w:i/>
          <w:iCs/>
        </w:rPr>
        <w:t xml:space="preserve"> </w:t>
      </w:r>
      <w:r w:rsidRPr="00423ADB">
        <w:rPr>
          <w:rFonts w:ascii="Arial" w:eastAsiaTheme="minorHAnsi" w:hAnsi="Arial" w:cs="Arial"/>
          <w:b/>
        </w:rPr>
        <w:t>Tržní podíly na základě počtu SIM karet na segmentu A2 k 31. 12. 2018</w:t>
      </w:r>
    </w:p>
    <w:p w14:paraId="3ED4C525" w14:textId="77777777" w:rsidR="00067EA8" w:rsidRPr="00423ADB" w:rsidRDefault="00067EA8" w:rsidP="00067EA8">
      <w:pPr>
        <w:keepNext/>
        <w:spacing w:after="0" w:line="259" w:lineRule="auto"/>
        <w:rPr>
          <w:rFonts w:ascii="Arial" w:eastAsiaTheme="minorHAnsi" w:hAnsi="Arial" w:cs="Arial"/>
          <w:highlight w:val="red"/>
        </w:rPr>
      </w:pPr>
      <w:r w:rsidRPr="00423ADB">
        <w:rPr>
          <w:rFonts w:ascii="Arial" w:eastAsiaTheme="minorHAnsi" w:hAnsi="Arial" w:cs="Arial"/>
          <w:noProof/>
          <w:highlight w:val="red"/>
        </w:rPr>
        <w:drawing>
          <wp:inline distT="0" distB="0" distL="0" distR="0" wp14:anchorId="7C1F4A21" wp14:editId="576BD922">
            <wp:extent cx="4883150" cy="2719070"/>
            <wp:effectExtent l="0" t="0" r="0" b="508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3150" cy="2719070"/>
                    </a:xfrm>
                    <a:prstGeom prst="rect">
                      <a:avLst/>
                    </a:prstGeom>
                    <a:noFill/>
                  </pic:spPr>
                </pic:pic>
              </a:graphicData>
            </a:graphic>
          </wp:inline>
        </w:drawing>
      </w:r>
    </w:p>
    <w:p w14:paraId="039C00A0" w14:textId="77777777" w:rsidR="00067EA8" w:rsidRPr="00423ADB" w:rsidRDefault="00067EA8" w:rsidP="00067EA8">
      <w:pPr>
        <w:keepNext/>
        <w:spacing w:after="160" w:line="259" w:lineRule="auto"/>
        <w:rPr>
          <w:rFonts w:ascii="Arial" w:eastAsiaTheme="minorHAnsi" w:hAnsi="Arial" w:cs="Arial"/>
          <w:b/>
        </w:rPr>
      </w:pPr>
      <w:r w:rsidRPr="00423ADB">
        <w:rPr>
          <w:rFonts w:ascii="Arial" w:eastAsiaTheme="minorHAnsi" w:hAnsi="Arial" w:cs="Arial"/>
          <w:sz w:val="20"/>
          <w:szCs w:val="20"/>
        </w:rPr>
        <w:t>Zdroj: ČTÚ</w:t>
      </w:r>
      <w:r w:rsidRPr="00423ADB">
        <w:rPr>
          <w:rFonts w:ascii="Arial" w:eastAsiaTheme="minorHAnsi" w:hAnsi="Arial" w:cs="Arial"/>
          <w:b/>
        </w:rPr>
        <w:t xml:space="preserve"> </w:t>
      </w:r>
    </w:p>
    <w:p w14:paraId="12D0A7FC" w14:textId="77777777" w:rsidR="00067EA8" w:rsidRPr="00423ADB" w:rsidRDefault="00067EA8" w:rsidP="00067EA8">
      <w:pPr>
        <w:keepNext/>
        <w:spacing w:after="160" w:line="259" w:lineRule="auto"/>
        <w:rPr>
          <w:rFonts w:ascii="Arial" w:eastAsiaTheme="minorHAnsi" w:hAnsi="Arial" w:cs="Arial"/>
          <w:b/>
          <w:u w:val="single"/>
        </w:rPr>
      </w:pPr>
    </w:p>
    <w:p w14:paraId="69C92850" w14:textId="77777777" w:rsidR="00067EA8" w:rsidRPr="00423ADB" w:rsidRDefault="00067EA8" w:rsidP="00067EA8">
      <w:pPr>
        <w:keepNext/>
        <w:spacing w:after="160" w:line="259" w:lineRule="auto"/>
        <w:rPr>
          <w:rFonts w:ascii="Arial" w:eastAsiaTheme="minorHAnsi" w:hAnsi="Arial" w:cs="Arial"/>
          <w:b/>
          <w:u w:val="single"/>
        </w:rPr>
      </w:pPr>
      <w:r w:rsidRPr="00423ADB">
        <w:rPr>
          <w:rFonts w:ascii="Arial" w:eastAsiaTheme="minorHAnsi" w:hAnsi="Arial" w:cs="Arial"/>
          <w:b/>
          <w:u w:val="single"/>
        </w:rPr>
        <w:t>Tržní podíly – segment B</w:t>
      </w:r>
    </w:p>
    <w:p w14:paraId="651C86FC" w14:textId="77777777" w:rsidR="00067EA8" w:rsidRPr="00423ADB" w:rsidRDefault="00067EA8" w:rsidP="00067EA8">
      <w:pPr>
        <w:keepNext/>
        <w:spacing w:after="160" w:line="259" w:lineRule="auto"/>
        <w:rPr>
          <w:rFonts w:ascii="Arial" w:eastAsiaTheme="minorHAnsi" w:hAnsi="Arial" w:cs="Arial"/>
          <w:b/>
        </w:rPr>
      </w:pPr>
    </w:p>
    <w:p w14:paraId="12737067" w14:textId="4889F3E3"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9</w:t>
      </w:r>
      <w:r w:rsidRPr="00423ADB">
        <w:rPr>
          <w:rFonts w:ascii="Arial" w:hAnsi="Arial" w:cs="Arial"/>
          <w:b/>
          <w:iCs/>
        </w:rPr>
        <w:fldChar w:fldCharType="end"/>
      </w:r>
      <w:r w:rsidRPr="00423ADB">
        <w:rPr>
          <w:rFonts w:ascii="Arial" w:hAnsi="Arial" w:cs="Arial"/>
          <w:b/>
          <w:iCs/>
        </w:rPr>
        <w:t xml:space="preserve">: </w:t>
      </w:r>
      <w:r w:rsidRPr="00423ADB">
        <w:rPr>
          <w:rFonts w:ascii="Arial" w:eastAsiaTheme="minorHAnsi" w:hAnsi="Arial" w:cs="Arial"/>
          <w:b/>
        </w:rPr>
        <w:t>Vývoj maloobchodních tržních podílů na základě počtu SIM karet na segmentu B</w:t>
      </w:r>
      <w:r w:rsidRPr="00423ADB">
        <w:rPr>
          <w:rFonts w:ascii="Arial" w:eastAsiaTheme="minorHAnsi" w:hAnsi="Arial" w:cs="Arial"/>
          <w:sz w:val="20"/>
          <w:szCs w:val="20"/>
        </w:rPr>
        <w:t xml:space="preserve"> </w:t>
      </w:r>
    </w:p>
    <w:p w14:paraId="71ABE6BF" w14:textId="77777777" w:rsidR="00067EA8" w:rsidRPr="00423ADB" w:rsidRDefault="00067EA8" w:rsidP="00067EA8">
      <w:pPr>
        <w:spacing w:after="160" w:line="259" w:lineRule="auto"/>
        <w:rPr>
          <w:rFonts w:ascii="Arial" w:eastAsiaTheme="minorHAnsi" w:hAnsi="Arial" w:cs="Arial"/>
          <w:b/>
          <w:highlight w:val="yellow"/>
        </w:rPr>
      </w:pPr>
      <w:r w:rsidRPr="00423ADB">
        <w:rPr>
          <w:rFonts w:ascii="Arial" w:eastAsiaTheme="minorHAnsi" w:hAnsi="Arial" w:cs="Arial"/>
          <w:noProof/>
          <w:sz w:val="20"/>
          <w:szCs w:val="20"/>
        </w:rPr>
        <w:drawing>
          <wp:inline distT="0" distB="0" distL="0" distR="0" wp14:anchorId="5F75E503" wp14:editId="48DF8100">
            <wp:extent cx="5876925" cy="2475230"/>
            <wp:effectExtent l="0" t="0" r="9525" b="127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2475230"/>
                    </a:xfrm>
                    <a:prstGeom prst="rect">
                      <a:avLst/>
                    </a:prstGeom>
                    <a:noFill/>
                  </pic:spPr>
                </pic:pic>
              </a:graphicData>
            </a:graphic>
          </wp:inline>
        </w:drawing>
      </w:r>
      <w:r w:rsidRPr="00423ADB">
        <w:rPr>
          <w:rFonts w:ascii="Arial" w:eastAsiaTheme="minorHAnsi" w:hAnsi="Arial" w:cs="Arial"/>
          <w:sz w:val="20"/>
          <w:szCs w:val="20"/>
        </w:rPr>
        <w:t>Zdroj: ČTÚ</w:t>
      </w:r>
    </w:p>
    <w:p w14:paraId="6AC02A97" w14:textId="7815FDE6" w:rsidR="00067EA8" w:rsidRPr="00423ADB" w:rsidRDefault="00067EA8" w:rsidP="00067EA8">
      <w:pPr>
        <w:keepNext/>
        <w:spacing w:after="160" w:line="259" w:lineRule="auto"/>
        <w:rPr>
          <w:rFonts w:ascii="Arial" w:eastAsiaTheme="minorHAnsi" w:hAnsi="Arial" w:cs="Arial"/>
          <w:b/>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10</w:t>
      </w:r>
      <w:r w:rsidRPr="00423ADB">
        <w:rPr>
          <w:rFonts w:ascii="Arial" w:hAnsi="Arial" w:cs="Arial"/>
          <w:b/>
          <w:iCs/>
        </w:rPr>
        <w:fldChar w:fldCharType="end"/>
      </w:r>
      <w:r w:rsidRPr="00423ADB">
        <w:rPr>
          <w:rFonts w:ascii="Arial" w:hAnsi="Arial" w:cs="Arial"/>
          <w:b/>
          <w:iCs/>
        </w:rPr>
        <w:t xml:space="preserve">: </w:t>
      </w:r>
      <w:r w:rsidRPr="00423ADB">
        <w:rPr>
          <w:rFonts w:ascii="Arial" w:eastAsiaTheme="minorHAnsi" w:hAnsi="Arial" w:cs="Arial"/>
          <w:b/>
        </w:rPr>
        <w:t>Tržní podíly na maloobchodním trhu na segmentu B k 31. 12. 2018</w:t>
      </w:r>
    </w:p>
    <w:p w14:paraId="692ED0C6" w14:textId="77777777" w:rsidR="00067EA8" w:rsidRPr="00423ADB" w:rsidRDefault="00067EA8" w:rsidP="00067EA8">
      <w:pPr>
        <w:spacing w:after="160" w:line="259" w:lineRule="auto"/>
        <w:rPr>
          <w:rFonts w:ascii="Arial" w:eastAsiaTheme="minorHAnsi" w:hAnsi="Arial" w:cs="Arial"/>
          <w:b/>
          <w:highlight w:val="yellow"/>
        </w:rPr>
      </w:pPr>
      <w:r w:rsidRPr="00423ADB">
        <w:rPr>
          <w:rFonts w:ascii="Arial" w:eastAsiaTheme="minorHAnsi" w:hAnsi="Arial" w:cs="Arial"/>
          <w:noProof/>
          <w:sz w:val="20"/>
          <w:szCs w:val="20"/>
        </w:rPr>
        <w:drawing>
          <wp:inline distT="0" distB="0" distL="0" distR="0" wp14:anchorId="4164BFD5" wp14:editId="51201842">
            <wp:extent cx="5767070" cy="2767965"/>
            <wp:effectExtent l="0" t="0" r="508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7070" cy="2767965"/>
                    </a:xfrm>
                    <a:prstGeom prst="rect">
                      <a:avLst/>
                    </a:prstGeom>
                    <a:noFill/>
                  </pic:spPr>
                </pic:pic>
              </a:graphicData>
            </a:graphic>
          </wp:inline>
        </w:drawing>
      </w:r>
      <w:r w:rsidRPr="00423ADB">
        <w:rPr>
          <w:rFonts w:ascii="Arial" w:eastAsiaTheme="minorHAnsi" w:hAnsi="Arial" w:cs="Arial"/>
          <w:sz w:val="20"/>
          <w:szCs w:val="20"/>
        </w:rPr>
        <w:t xml:space="preserve"> Zdroj: ČTÚ</w:t>
      </w:r>
    </w:p>
    <w:p w14:paraId="440C27AD" w14:textId="553F3379"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11</w:t>
      </w:r>
      <w:r w:rsidRPr="00423ADB">
        <w:rPr>
          <w:rFonts w:ascii="Arial" w:hAnsi="Arial" w:cs="Arial"/>
          <w:b/>
          <w:iCs/>
        </w:rPr>
        <w:fldChar w:fldCharType="end"/>
      </w:r>
      <w:r w:rsidRPr="00423ADB">
        <w:rPr>
          <w:rFonts w:ascii="Arial" w:hAnsi="Arial" w:cs="Arial"/>
          <w:b/>
          <w:iCs/>
        </w:rPr>
        <w:t>:</w:t>
      </w:r>
      <w:r w:rsidRPr="00423ADB">
        <w:rPr>
          <w:rFonts w:ascii="Arial" w:hAnsi="Arial" w:cs="Arial"/>
          <w:b/>
          <w:i/>
          <w:iCs/>
        </w:rPr>
        <w:t xml:space="preserve"> </w:t>
      </w:r>
      <w:r w:rsidRPr="00423ADB">
        <w:rPr>
          <w:rFonts w:ascii="Arial" w:eastAsiaTheme="minorHAnsi" w:hAnsi="Arial" w:cs="Arial"/>
          <w:b/>
        </w:rPr>
        <w:t>Vývoj maloobchodních tržních podílů na základě počtu SIM karet na segmentu B se zahrnutím podílu majetkově propojených MVNO do podílu příslušných MNO</w:t>
      </w:r>
      <w:r w:rsidRPr="00423ADB">
        <w:rPr>
          <w:rFonts w:ascii="Arial" w:eastAsiaTheme="minorHAnsi" w:hAnsi="Arial" w:cs="Arial"/>
          <w:sz w:val="20"/>
          <w:szCs w:val="20"/>
        </w:rPr>
        <w:t xml:space="preserve"> </w:t>
      </w:r>
    </w:p>
    <w:p w14:paraId="215AF955" w14:textId="77777777" w:rsidR="00067EA8" w:rsidRPr="00423ADB" w:rsidRDefault="00067EA8" w:rsidP="00067EA8">
      <w:pPr>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574F7990" wp14:editId="1EF75E22">
            <wp:extent cx="5968365" cy="3310255"/>
            <wp:effectExtent l="0" t="0" r="0" b="444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8365" cy="3310255"/>
                    </a:xfrm>
                    <a:prstGeom prst="rect">
                      <a:avLst/>
                    </a:prstGeom>
                    <a:noFill/>
                  </pic:spPr>
                </pic:pic>
              </a:graphicData>
            </a:graphic>
          </wp:inline>
        </w:drawing>
      </w:r>
      <w:r w:rsidRPr="00423ADB">
        <w:rPr>
          <w:rFonts w:ascii="Arial" w:eastAsiaTheme="minorHAnsi" w:hAnsi="Arial" w:cs="Arial"/>
          <w:sz w:val="20"/>
          <w:szCs w:val="20"/>
        </w:rPr>
        <w:t>Zdroj: ČTÚ</w:t>
      </w:r>
    </w:p>
    <w:p w14:paraId="3A1BF16B" w14:textId="43DA1489"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12</w:t>
      </w:r>
      <w:r w:rsidRPr="00423ADB">
        <w:rPr>
          <w:rFonts w:ascii="Arial" w:hAnsi="Arial" w:cs="Arial"/>
          <w:b/>
          <w:iCs/>
        </w:rPr>
        <w:fldChar w:fldCharType="end"/>
      </w:r>
      <w:r w:rsidRPr="00423ADB">
        <w:rPr>
          <w:rFonts w:ascii="Arial" w:hAnsi="Arial" w:cs="Arial"/>
          <w:b/>
          <w:iCs/>
        </w:rPr>
        <w:t xml:space="preserve">: </w:t>
      </w:r>
      <w:r w:rsidRPr="00423ADB">
        <w:rPr>
          <w:rFonts w:ascii="Arial" w:eastAsiaTheme="minorHAnsi" w:hAnsi="Arial" w:cs="Arial"/>
          <w:b/>
        </w:rPr>
        <w:t>Vývoj maloobchodních tržních podílů u pěti největších majetkově nezávislých MVNO na segmentu B na základě počtu SIM karet</w:t>
      </w:r>
      <w:r w:rsidRPr="00423ADB">
        <w:rPr>
          <w:rFonts w:ascii="Arial" w:eastAsiaTheme="minorHAnsi" w:hAnsi="Arial" w:cs="Arial"/>
          <w:sz w:val="20"/>
          <w:szCs w:val="20"/>
        </w:rPr>
        <w:t xml:space="preserve"> </w:t>
      </w:r>
    </w:p>
    <w:p w14:paraId="5D0970E8" w14:textId="77777777" w:rsidR="00067EA8" w:rsidRPr="00423ADB" w:rsidRDefault="00067EA8" w:rsidP="00067EA8">
      <w:pPr>
        <w:spacing w:after="160" w:line="259" w:lineRule="auto"/>
        <w:rPr>
          <w:rFonts w:ascii="Arial" w:eastAsiaTheme="minorHAnsi" w:hAnsi="Arial" w:cs="Arial"/>
          <w:b/>
          <w:i/>
        </w:rPr>
      </w:pPr>
      <w:r w:rsidRPr="00423ADB">
        <w:rPr>
          <w:rFonts w:ascii="Arial" w:eastAsiaTheme="minorHAnsi" w:hAnsi="Arial" w:cs="Arial"/>
          <w:noProof/>
          <w:sz w:val="20"/>
          <w:szCs w:val="20"/>
        </w:rPr>
        <w:drawing>
          <wp:inline distT="0" distB="0" distL="0" distR="0" wp14:anchorId="12E30982" wp14:editId="2AF07AD2">
            <wp:extent cx="5706110" cy="3462655"/>
            <wp:effectExtent l="0" t="0" r="8890" b="444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6110" cy="3462655"/>
                    </a:xfrm>
                    <a:prstGeom prst="rect">
                      <a:avLst/>
                    </a:prstGeom>
                    <a:noFill/>
                  </pic:spPr>
                </pic:pic>
              </a:graphicData>
            </a:graphic>
          </wp:inline>
        </w:drawing>
      </w:r>
      <w:r w:rsidRPr="00423ADB">
        <w:rPr>
          <w:rFonts w:ascii="Arial" w:eastAsiaTheme="minorHAnsi" w:hAnsi="Arial" w:cs="Arial"/>
          <w:sz w:val="20"/>
          <w:szCs w:val="20"/>
        </w:rPr>
        <w:t>Zdroj: ČTÚ</w:t>
      </w:r>
    </w:p>
    <w:p w14:paraId="4E3D68B8" w14:textId="354455FD" w:rsidR="00067EA8" w:rsidRPr="00423ADB" w:rsidRDefault="00067EA8" w:rsidP="00067EA8">
      <w:pPr>
        <w:keepNext/>
        <w:spacing w:after="160" w:line="259" w:lineRule="auto"/>
        <w:rPr>
          <w:rFonts w:ascii="Arial" w:eastAsiaTheme="minorHAnsi" w:hAnsi="Arial" w:cs="Arial"/>
          <w:b/>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13</w:t>
      </w:r>
      <w:r w:rsidRPr="00423ADB">
        <w:rPr>
          <w:rFonts w:ascii="Arial" w:hAnsi="Arial" w:cs="Arial"/>
          <w:b/>
          <w:iCs/>
        </w:rPr>
        <w:fldChar w:fldCharType="end"/>
      </w:r>
      <w:r w:rsidRPr="00423ADB">
        <w:rPr>
          <w:rFonts w:ascii="Arial" w:hAnsi="Arial" w:cs="Arial"/>
          <w:b/>
          <w:iCs/>
        </w:rPr>
        <w:t>:</w:t>
      </w:r>
      <w:r w:rsidRPr="00423ADB">
        <w:rPr>
          <w:rFonts w:ascii="Arial" w:hAnsi="Arial" w:cs="Arial"/>
          <w:b/>
          <w:i/>
          <w:iCs/>
        </w:rPr>
        <w:t xml:space="preserve"> </w:t>
      </w:r>
      <w:r w:rsidRPr="00423ADB">
        <w:rPr>
          <w:rFonts w:ascii="Arial" w:eastAsiaTheme="minorHAnsi" w:hAnsi="Arial" w:cs="Arial"/>
          <w:b/>
        </w:rPr>
        <w:t>Tržní podíly na základě počtu SIM karet na segmentu B1 k 31. 12. 2018</w:t>
      </w:r>
    </w:p>
    <w:p w14:paraId="24E73F06" w14:textId="77777777" w:rsidR="00067EA8" w:rsidRPr="00423ADB" w:rsidRDefault="00067EA8" w:rsidP="00067EA8">
      <w:pPr>
        <w:keepNext/>
        <w:spacing w:after="0" w:line="259" w:lineRule="auto"/>
        <w:rPr>
          <w:rFonts w:ascii="Arial" w:eastAsiaTheme="minorHAnsi" w:hAnsi="Arial" w:cs="Arial"/>
          <w:sz w:val="20"/>
          <w:szCs w:val="20"/>
        </w:rPr>
      </w:pPr>
      <w:r w:rsidRPr="00423ADB">
        <w:rPr>
          <w:rFonts w:ascii="Arial" w:eastAsiaTheme="minorHAnsi" w:hAnsi="Arial" w:cs="Arial"/>
          <w:noProof/>
          <w:sz w:val="20"/>
          <w:szCs w:val="20"/>
        </w:rPr>
        <w:drawing>
          <wp:inline distT="0" distB="0" distL="0" distR="0" wp14:anchorId="66A4A5C6" wp14:editId="557894D0">
            <wp:extent cx="4883150" cy="2719070"/>
            <wp:effectExtent l="0" t="0" r="0" b="508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3150" cy="2719070"/>
                    </a:xfrm>
                    <a:prstGeom prst="rect">
                      <a:avLst/>
                    </a:prstGeom>
                    <a:noFill/>
                  </pic:spPr>
                </pic:pic>
              </a:graphicData>
            </a:graphic>
          </wp:inline>
        </w:drawing>
      </w:r>
    </w:p>
    <w:p w14:paraId="56699D66" w14:textId="77777777" w:rsidR="00067EA8" w:rsidRPr="00423ADB" w:rsidRDefault="00067EA8" w:rsidP="00067EA8">
      <w:pPr>
        <w:spacing w:after="0" w:line="259" w:lineRule="auto"/>
        <w:rPr>
          <w:rFonts w:ascii="Arial" w:eastAsiaTheme="minorHAnsi" w:hAnsi="Arial" w:cs="Arial"/>
          <w:b/>
          <w:i/>
          <w:highlight w:val="darkGray"/>
        </w:rPr>
      </w:pPr>
      <w:r w:rsidRPr="00423ADB">
        <w:rPr>
          <w:rFonts w:ascii="Arial" w:eastAsiaTheme="minorHAnsi" w:hAnsi="Arial" w:cs="Arial"/>
          <w:sz w:val="20"/>
          <w:szCs w:val="20"/>
        </w:rPr>
        <w:t>Zdroj: ČTÚ</w:t>
      </w:r>
      <w:r w:rsidRPr="00423ADB">
        <w:rPr>
          <w:rFonts w:ascii="Arial" w:eastAsiaTheme="minorHAnsi" w:hAnsi="Arial" w:cs="Arial"/>
          <w:b/>
          <w:i/>
          <w:highlight w:val="darkGray"/>
        </w:rPr>
        <w:t xml:space="preserve"> </w:t>
      </w:r>
    </w:p>
    <w:p w14:paraId="2CC83230" w14:textId="1FA8C5F8" w:rsidR="00067EA8" w:rsidRPr="00423ADB" w:rsidRDefault="00067EA8" w:rsidP="00067EA8">
      <w:pPr>
        <w:keepNext/>
        <w:spacing w:after="160" w:line="259" w:lineRule="auto"/>
        <w:rPr>
          <w:rFonts w:ascii="Arial" w:eastAsiaTheme="minorHAnsi" w:hAnsi="Arial" w:cs="Arial"/>
          <w:b/>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14</w:t>
      </w:r>
      <w:r w:rsidRPr="00423ADB">
        <w:rPr>
          <w:rFonts w:ascii="Arial" w:hAnsi="Arial" w:cs="Arial"/>
          <w:b/>
          <w:iCs/>
        </w:rPr>
        <w:fldChar w:fldCharType="end"/>
      </w:r>
      <w:r w:rsidRPr="00423ADB">
        <w:rPr>
          <w:rFonts w:ascii="Arial" w:hAnsi="Arial" w:cs="Arial"/>
          <w:b/>
          <w:iCs/>
        </w:rPr>
        <w:t xml:space="preserve">: </w:t>
      </w:r>
      <w:r w:rsidRPr="00423ADB">
        <w:rPr>
          <w:rFonts w:ascii="Arial" w:eastAsiaTheme="minorHAnsi" w:hAnsi="Arial" w:cs="Arial"/>
          <w:b/>
        </w:rPr>
        <w:t>Tržní podíly na základě počtu SIM karet na segmentu B2 k 31. 12. 2018</w:t>
      </w:r>
    </w:p>
    <w:p w14:paraId="173A3701" w14:textId="77777777" w:rsidR="00067EA8" w:rsidRPr="00423ADB" w:rsidRDefault="00067EA8" w:rsidP="00067EA8">
      <w:pPr>
        <w:keepNext/>
        <w:spacing w:after="0" w:line="259" w:lineRule="auto"/>
        <w:rPr>
          <w:rFonts w:ascii="Arial" w:eastAsiaTheme="minorHAnsi" w:hAnsi="Arial" w:cs="Arial"/>
          <w:b/>
        </w:rPr>
      </w:pPr>
      <w:r w:rsidRPr="00423ADB">
        <w:rPr>
          <w:rFonts w:ascii="Arial" w:eastAsiaTheme="minorHAnsi" w:hAnsi="Arial" w:cs="Arial"/>
          <w:b/>
          <w:noProof/>
        </w:rPr>
        <w:drawing>
          <wp:inline distT="0" distB="0" distL="0" distR="0" wp14:anchorId="0DF1E162" wp14:editId="13601CB5">
            <wp:extent cx="4883150" cy="272542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3150" cy="2725420"/>
                    </a:xfrm>
                    <a:prstGeom prst="rect">
                      <a:avLst/>
                    </a:prstGeom>
                    <a:noFill/>
                  </pic:spPr>
                </pic:pic>
              </a:graphicData>
            </a:graphic>
          </wp:inline>
        </w:drawing>
      </w:r>
    </w:p>
    <w:p w14:paraId="2F5CD37E" w14:textId="77777777" w:rsidR="00067EA8" w:rsidRPr="00423ADB" w:rsidRDefault="00067EA8" w:rsidP="00067EA8">
      <w:pPr>
        <w:keepNext/>
        <w:spacing w:after="160" w:line="259" w:lineRule="auto"/>
        <w:rPr>
          <w:rFonts w:ascii="Arial" w:eastAsiaTheme="minorHAnsi" w:hAnsi="Arial" w:cs="Arial"/>
          <w:b/>
          <w:i/>
          <w:highlight w:val="darkGray"/>
        </w:rPr>
      </w:pPr>
      <w:r w:rsidRPr="00423ADB">
        <w:rPr>
          <w:rFonts w:ascii="Arial" w:eastAsiaTheme="minorHAnsi" w:hAnsi="Arial" w:cs="Arial"/>
          <w:sz w:val="20"/>
          <w:szCs w:val="20"/>
        </w:rPr>
        <w:t>Zdroj: ČTÚ</w:t>
      </w:r>
      <w:r w:rsidRPr="00423ADB">
        <w:rPr>
          <w:rFonts w:ascii="Arial" w:eastAsiaTheme="minorHAnsi" w:hAnsi="Arial" w:cs="Arial"/>
          <w:b/>
          <w:i/>
          <w:highlight w:val="darkGray"/>
        </w:rPr>
        <w:t xml:space="preserve"> </w:t>
      </w:r>
    </w:p>
    <w:p w14:paraId="172A501C" w14:textId="77777777" w:rsidR="00067EA8" w:rsidRPr="00423ADB" w:rsidRDefault="00067EA8" w:rsidP="00067EA8">
      <w:pPr>
        <w:keepNext/>
        <w:spacing w:after="160" w:line="259" w:lineRule="auto"/>
        <w:rPr>
          <w:rFonts w:ascii="Arial" w:eastAsiaTheme="minorHAnsi" w:hAnsi="Arial" w:cs="Arial"/>
          <w:b/>
        </w:rPr>
      </w:pPr>
    </w:p>
    <w:p w14:paraId="4D4FF2A6" w14:textId="77777777" w:rsidR="00067EA8" w:rsidRPr="00423ADB" w:rsidRDefault="00067EA8" w:rsidP="00067EA8">
      <w:pPr>
        <w:keepNext/>
        <w:spacing w:after="160" w:line="259" w:lineRule="auto"/>
        <w:rPr>
          <w:rFonts w:ascii="Arial" w:eastAsiaTheme="minorHAnsi" w:hAnsi="Arial" w:cs="Arial"/>
          <w:b/>
          <w:u w:val="single"/>
        </w:rPr>
      </w:pPr>
      <w:r w:rsidRPr="00423ADB">
        <w:rPr>
          <w:rFonts w:ascii="Arial" w:eastAsiaTheme="minorHAnsi" w:hAnsi="Arial" w:cs="Arial"/>
          <w:b/>
          <w:u w:val="single"/>
        </w:rPr>
        <w:t>Velkoobchodní trh</w:t>
      </w:r>
    </w:p>
    <w:p w14:paraId="0F1CB827" w14:textId="77777777" w:rsidR="00067EA8" w:rsidRPr="00423ADB" w:rsidRDefault="00067EA8" w:rsidP="00067EA8">
      <w:pPr>
        <w:keepNext/>
        <w:spacing w:after="160" w:line="259" w:lineRule="auto"/>
        <w:rPr>
          <w:rFonts w:ascii="Arial" w:eastAsiaTheme="minorHAnsi" w:hAnsi="Arial" w:cs="Arial"/>
          <w:b/>
          <w:u w:val="single"/>
        </w:rPr>
      </w:pPr>
    </w:p>
    <w:p w14:paraId="5BD16E95" w14:textId="3A295C3B" w:rsidR="00067EA8" w:rsidRPr="00423ADB" w:rsidRDefault="00067EA8" w:rsidP="00067EA8">
      <w:pPr>
        <w:pStyle w:val="Titulek"/>
        <w:keepNext/>
        <w:rPr>
          <w:rFonts w:ascii="Arial" w:hAnsi="Arial" w:cs="Arial"/>
          <w:b/>
          <w:i w:val="0"/>
          <w:iCs w:val="0"/>
          <w:color w:val="auto"/>
          <w:sz w:val="22"/>
          <w:szCs w:val="22"/>
        </w:rPr>
      </w:pPr>
      <w:r w:rsidRPr="00423ADB">
        <w:rPr>
          <w:rFonts w:ascii="Arial" w:hAnsi="Arial" w:cs="Arial"/>
          <w:b/>
          <w:i w:val="0"/>
          <w:iCs w:val="0"/>
          <w:color w:val="auto"/>
          <w:sz w:val="22"/>
          <w:szCs w:val="22"/>
        </w:rPr>
        <w:t xml:space="preserve">Graf č. </w:t>
      </w:r>
      <w:r w:rsidRPr="00423ADB">
        <w:rPr>
          <w:rFonts w:ascii="Arial" w:hAnsi="Arial" w:cs="Arial"/>
          <w:b/>
          <w:i w:val="0"/>
          <w:iCs w:val="0"/>
          <w:color w:val="auto"/>
          <w:sz w:val="22"/>
          <w:szCs w:val="22"/>
        </w:rPr>
        <w:fldChar w:fldCharType="begin"/>
      </w:r>
      <w:r w:rsidRPr="00423ADB">
        <w:rPr>
          <w:rFonts w:ascii="Arial" w:hAnsi="Arial" w:cs="Arial"/>
          <w:b/>
          <w:i w:val="0"/>
          <w:iCs w:val="0"/>
          <w:color w:val="auto"/>
          <w:sz w:val="22"/>
          <w:szCs w:val="22"/>
        </w:rPr>
        <w:instrText xml:space="preserve"> SEQ Graf \* ARABIC </w:instrText>
      </w:r>
      <w:r w:rsidRPr="00423ADB">
        <w:rPr>
          <w:rFonts w:ascii="Arial" w:hAnsi="Arial" w:cs="Arial"/>
          <w:b/>
          <w:i w:val="0"/>
          <w:iCs w:val="0"/>
          <w:color w:val="auto"/>
          <w:sz w:val="22"/>
          <w:szCs w:val="22"/>
        </w:rPr>
        <w:fldChar w:fldCharType="separate"/>
      </w:r>
      <w:r w:rsidR="00F9308E" w:rsidRPr="00423ADB">
        <w:rPr>
          <w:rFonts w:ascii="Arial" w:hAnsi="Arial" w:cs="Arial"/>
          <w:b/>
          <w:i w:val="0"/>
          <w:iCs w:val="0"/>
          <w:noProof/>
          <w:color w:val="auto"/>
          <w:sz w:val="22"/>
          <w:szCs w:val="22"/>
        </w:rPr>
        <w:t>15</w:t>
      </w:r>
      <w:r w:rsidRPr="00423ADB">
        <w:rPr>
          <w:rFonts w:ascii="Arial" w:hAnsi="Arial" w:cs="Arial"/>
          <w:b/>
          <w:i w:val="0"/>
          <w:iCs w:val="0"/>
          <w:color w:val="auto"/>
          <w:sz w:val="22"/>
          <w:szCs w:val="22"/>
        </w:rPr>
        <w:fldChar w:fldCharType="end"/>
      </w:r>
      <w:r w:rsidRPr="00423ADB">
        <w:rPr>
          <w:rFonts w:ascii="Arial" w:hAnsi="Arial" w:cs="Arial"/>
          <w:b/>
          <w:i w:val="0"/>
          <w:iCs w:val="0"/>
          <w:color w:val="auto"/>
          <w:sz w:val="22"/>
          <w:szCs w:val="22"/>
        </w:rPr>
        <w:t>: Vývoj počtu SIM karet prodaných na velkoobchodním trhu</w:t>
      </w:r>
    </w:p>
    <w:p w14:paraId="0C8C2FBC" w14:textId="77777777" w:rsidR="00067EA8" w:rsidRPr="00423ADB" w:rsidRDefault="00067EA8" w:rsidP="00067EA8">
      <w:pPr>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693A16C1" wp14:editId="7487E37F">
            <wp:extent cx="5718810" cy="3426460"/>
            <wp:effectExtent l="0" t="0" r="0" b="254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810" cy="3426460"/>
                    </a:xfrm>
                    <a:prstGeom prst="rect">
                      <a:avLst/>
                    </a:prstGeom>
                    <a:noFill/>
                  </pic:spPr>
                </pic:pic>
              </a:graphicData>
            </a:graphic>
          </wp:inline>
        </w:drawing>
      </w:r>
      <w:r w:rsidRPr="00423ADB">
        <w:rPr>
          <w:rFonts w:ascii="Arial" w:eastAsiaTheme="minorHAnsi" w:hAnsi="Arial" w:cs="Arial"/>
          <w:sz w:val="20"/>
          <w:szCs w:val="20"/>
        </w:rPr>
        <w:t>Zdroj: ČTÚ</w:t>
      </w:r>
    </w:p>
    <w:p w14:paraId="790FFE75" w14:textId="42090C92"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16</w:t>
      </w:r>
      <w:r w:rsidRPr="00423ADB">
        <w:rPr>
          <w:rFonts w:ascii="Arial" w:hAnsi="Arial" w:cs="Arial"/>
          <w:b/>
          <w:iCs/>
        </w:rPr>
        <w:fldChar w:fldCharType="end"/>
      </w:r>
      <w:r w:rsidRPr="00423ADB">
        <w:rPr>
          <w:rFonts w:ascii="Arial" w:hAnsi="Arial" w:cs="Arial"/>
          <w:b/>
          <w:iCs/>
        </w:rPr>
        <w:t xml:space="preserve">: </w:t>
      </w:r>
      <w:r w:rsidRPr="00423ADB">
        <w:rPr>
          <w:rFonts w:ascii="Arial" w:eastAsiaTheme="minorHAnsi" w:hAnsi="Arial" w:cs="Arial"/>
          <w:b/>
          <w:szCs w:val="24"/>
        </w:rPr>
        <w:t>Vývoj tržních podílů na velkoobchodním trhu na základě velkoobchodně prodaných aktivovaných SIM karet, včetně velkoobchodního přeprodeje bez zahrnutí samozásobení (k 31. 12. 2018)</w:t>
      </w:r>
      <w:r w:rsidRPr="00423ADB">
        <w:rPr>
          <w:rFonts w:ascii="Arial" w:eastAsiaTheme="minorHAnsi" w:hAnsi="Arial" w:cs="Arial"/>
          <w:sz w:val="20"/>
          <w:szCs w:val="20"/>
        </w:rPr>
        <w:t xml:space="preserve"> </w:t>
      </w:r>
    </w:p>
    <w:p w14:paraId="75A1D36C" w14:textId="77777777" w:rsidR="00067EA8" w:rsidRPr="00423ADB" w:rsidRDefault="00067EA8" w:rsidP="00067EA8">
      <w:pPr>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1C2F62DE" wp14:editId="60F0AF7F">
            <wp:extent cx="5761355" cy="3877310"/>
            <wp:effectExtent l="0" t="0" r="0" b="889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3877310"/>
                    </a:xfrm>
                    <a:prstGeom prst="rect">
                      <a:avLst/>
                    </a:prstGeom>
                    <a:noFill/>
                  </pic:spPr>
                </pic:pic>
              </a:graphicData>
            </a:graphic>
          </wp:inline>
        </w:drawing>
      </w:r>
      <w:r w:rsidRPr="00423ADB">
        <w:rPr>
          <w:rFonts w:ascii="Arial" w:eastAsiaTheme="minorHAnsi" w:hAnsi="Arial" w:cs="Arial"/>
          <w:sz w:val="20"/>
          <w:szCs w:val="20"/>
        </w:rPr>
        <w:t>Zdroj: ČTÚ</w:t>
      </w:r>
    </w:p>
    <w:p w14:paraId="5C38DF6D" w14:textId="2A3AED00"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rPr>
        <w:t xml:space="preserve">Graf č. </w:t>
      </w:r>
      <w:r w:rsidRPr="00423ADB">
        <w:rPr>
          <w:rFonts w:ascii="Arial" w:hAnsi="Arial" w:cs="Arial"/>
          <w:b/>
        </w:rPr>
        <w:fldChar w:fldCharType="begin"/>
      </w:r>
      <w:r w:rsidRPr="00423ADB">
        <w:rPr>
          <w:rFonts w:ascii="Arial" w:hAnsi="Arial" w:cs="Arial"/>
          <w:b/>
        </w:rPr>
        <w:instrText xml:space="preserve"> SEQ Graf \* ARABIC </w:instrText>
      </w:r>
      <w:r w:rsidRPr="00423ADB">
        <w:rPr>
          <w:rFonts w:ascii="Arial" w:hAnsi="Arial" w:cs="Arial"/>
          <w:b/>
        </w:rPr>
        <w:fldChar w:fldCharType="separate"/>
      </w:r>
      <w:r w:rsidR="00F9308E" w:rsidRPr="00423ADB">
        <w:rPr>
          <w:rFonts w:ascii="Arial" w:hAnsi="Arial" w:cs="Arial"/>
          <w:b/>
          <w:noProof/>
        </w:rPr>
        <w:t>17</w:t>
      </w:r>
      <w:r w:rsidRPr="00423ADB">
        <w:rPr>
          <w:rFonts w:ascii="Arial" w:hAnsi="Arial" w:cs="Arial"/>
          <w:b/>
        </w:rPr>
        <w:fldChar w:fldCharType="end"/>
      </w:r>
      <w:r w:rsidRPr="00423ADB">
        <w:rPr>
          <w:rFonts w:ascii="Arial" w:hAnsi="Arial" w:cs="Arial"/>
          <w:b/>
        </w:rPr>
        <w:t>:</w:t>
      </w:r>
      <w:r w:rsidRPr="00423ADB">
        <w:rPr>
          <w:rFonts w:ascii="Arial" w:hAnsi="Arial" w:cs="Arial"/>
          <w:b/>
          <w:i/>
        </w:rPr>
        <w:t xml:space="preserve"> </w:t>
      </w:r>
      <w:r w:rsidRPr="00423ADB">
        <w:rPr>
          <w:rFonts w:ascii="Arial" w:eastAsiaTheme="minorHAnsi" w:hAnsi="Arial" w:cs="Arial"/>
          <w:b/>
        </w:rPr>
        <w:t>Vývoj tržních podílů na velkoobchodním trhu na základě velkoobchodně prodaných aktivovaných SIM karet, včetně velkoobchodního přeprodeje se zahrnutím samozásobení (k 31. 12. 2018)</w:t>
      </w:r>
      <w:r w:rsidRPr="00423ADB">
        <w:rPr>
          <w:rFonts w:ascii="Arial" w:eastAsiaTheme="minorHAnsi" w:hAnsi="Arial" w:cs="Arial"/>
          <w:sz w:val="20"/>
          <w:szCs w:val="20"/>
        </w:rPr>
        <w:t xml:space="preserve"> </w:t>
      </w:r>
    </w:p>
    <w:p w14:paraId="0CE048EB" w14:textId="77777777" w:rsidR="00067EA8" w:rsidRPr="00423ADB" w:rsidRDefault="00067EA8" w:rsidP="00067EA8">
      <w:pPr>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0C89749B" wp14:editId="104B0D24">
            <wp:extent cx="5761355" cy="2853055"/>
            <wp:effectExtent l="0" t="0" r="0" b="444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2853055"/>
                    </a:xfrm>
                    <a:prstGeom prst="rect">
                      <a:avLst/>
                    </a:prstGeom>
                    <a:noFill/>
                  </pic:spPr>
                </pic:pic>
              </a:graphicData>
            </a:graphic>
          </wp:inline>
        </w:drawing>
      </w:r>
      <w:r w:rsidRPr="00423ADB">
        <w:rPr>
          <w:rFonts w:ascii="Arial" w:eastAsiaTheme="minorHAnsi" w:hAnsi="Arial" w:cs="Arial"/>
          <w:sz w:val="20"/>
          <w:szCs w:val="20"/>
        </w:rPr>
        <w:t>Zdroj: ČTÚ</w:t>
      </w:r>
    </w:p>
    <w:p w14:paraId="135A1D91" w14:textId="64D0A3EF"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18</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tržních podílů na velkoobchodním trhu na základě objemu originovaných minut, včetně velkoobchodního přeprodeje bez zahrnutí samozásobení (k 31. 12. 2018)</w:t>
      </w:r>
    </w:p>
    <w:p w14:paraId="032CEE04" w14:textId="77777777" w:rsidR="00067EA8" w:rsidRPr="00423ADB" w:rsidRDefault="00067EA8" w:rsidP="00067EA8">
      <w:pPr>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2A43E5B6" wp14:editId="09D04379">
            <wp:extent cx="5755005" cy="356616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005" cy="3566160"/>
                    </a:xfrm>
                    <a:prstGeom prst="rect">
                      <a:avLst/>
                    </a:prstGeom>
                    <a:noFill/>
                  </pic:spPr>
                </pic:pic>
              </a:graphicData>
            </a:graphic>
          </wp:inline>
        </w:drawing>
      </w:r>
      <w:r w:rsidRPr="00423ADB">
        <w:rPr>
          <w:rFonts w:ascii="Arial" w:eastAsiaTheme="minorHAnsi" w:hAnsi="Arial" w:cs="Arial"/>
          <w:sz w:val="20"/>
          <w:szCs w:val="20"/>
        </w:rPr>
        <w:t>Zdroj: ČTÚ</w:t>
      </w:r>
      <w:r w:rsidRPr="00423ADB">
        <w:rPr>
          <w:rFonts w:ascii="Arial" w:eastAsiaTheme="minorHAnsi" w:hAnsi="Arial" w:cs="Arial"/>
          <w:b/>
        </w:rPr>
        <w:t xml:space="preserve"> </w:t>
      </w:r>
    </w:p>
    <w:p w14:paraId="6DB3B49D" w14:textId="783B0F91"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19</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tržních podíly na velkoobchodním trhu na základě objemu originovaných minut, včetně velkoobchodního přeprodeje se zahrnutím samozásobení (k 31. 12. 2018)</w:t>
      </w:r>
    </w:p>
    <w:p w14:paraId="2224EED7" w14:textId="77777777" w:rsidR="00067EA8" w:rsidRPr="00423ADB" w:rsidRDefault="00067EA8" w:rsidP="00067EA8">
      <w:pPr>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15B92FF5" wp14:editId="7C7189EA">
            <wp:extent cx="5761355" cy="3066415"/>
            <wp:effectExtent l="0" t="0" r="0" b="63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3066415"/>
                    </a:xfrm>
                    <a:prstGeom prst="rect">
                      <a:avLst/>
                    </a:prstGeom>
                    <a:noFill/>
                  </pic:spPr>
                </pic:pic>
              </a:graphicData>
            </a:graphic>
          </wp:inline>
        </w:drawing>
      </w:r>
      <w:r w:rsidRPr="00423ADB">
        <w:rPr>
          <w:rFonts w:ascii="Arial" w:eastAsiaTheme="minorHAnsi" w:hAnsi="Arial" w:cs="Arial"/>
          <w:sz w:val="20"/>
          <w:szCs w:val="20"/>
        </w:rPr>
        <w:t>Zdroj: ČTÚ</w:t>
      </w:r>
    </w:p>
    <w:p w14:paraId="7DEB65A0" w14:textId="3A4AE17C"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20</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tržních podílů na velkoobchodním trhu na základě počtu odeslaných SMS, včetně velkoobchodního přeprodeje bez zahrnutí samozásobení (k 31. 12. 2018)</w:t>
      </w:r>
      <w:r w:rsidRPr="00423ADB">
        <w:rPr>
          <w:rFonts w:ascii="Arial" w:eastAsiaTheme="minorHAnsi" w:hAnsi="Arial" w:cs="Arial"/>
          <w:sz w:val="20"/>
          <w:szCs w:val="20"/>
        </w:rPr>
        <w:t xml:space="preserve"> </w:t>
      </w:r>
    </w:p>
    <w:p w14:paraId="4AA69BD1" w14:textId="77777777" w:rsidR="00067EA8" w:rsidRPr="00423ADB" w:rsidRDefault="00067EA8" w:rsidP="00067EA8">
      <w:pPr>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2AC4D3E4" wp14:editId="5C018B4C">
            <wp:extent cx="5749290" cy="3261360"/>
            <wp:effectExtent l="0" t="0" r="381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9290" cy="3261360"/>
                    </a:xfrm>
                    <a:prstGeom prst="rect">
                      <a:avLst/>
                    </a:prstGeom>
                    <a:noFill/>
                  </pic:spPr>
                </pic:pic>
              </a:graphicData>
            </a:graphic>
          </wp:inline>
        </w:drawing>
      </w:r>
      <w:r w:rsidRPr="00423ADB">
        <w:rPr>
          <w:rFonts w:ascii="Arial" w:eastAsiaTheme="minorHAnsi" w:hAnsi="Arial" w:cs="Arial"/>
          <w:sz w:val="20"/>
          <w:szCs w:val="20"/>
        </w:rPr>
        <w:t>Zdroj: ČTÚ</w:t>
      </w:r>
    </w:p>
    <w:p w14:paraId="74B481F4" w14:textId="088B12B0"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21</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tržních podílů na velkoobchodním trhu na základě počtu odeslaných SMS, včetně velkoobchodního přeprodeje se zahrnutím samozásobení (k 31. 12. 2018)</w:t>
      </w:r>
      <w:r w:rsidRPr="00423ADB">
        <w:rPr>
          <w:rFonts w:ascii="Arial" w:eastAsiaTheme="minorHAnsi" w:hAnsi="Arial" w:cs="Arial"/>
          <w:sz w:val="20"/>
          <w:szCs w:val="20"/>
        </w:rPr>
        <w:t xml:space="preserve"> </w:t>
      </w:r>
    </w:p>
    <w:p w14:paraId="4BEA7676" w14:textId="77777777" w:rsidR="00067EA8" w:rsidRPr="00423ADB" w:rsidRDefault="00067EA8" w:rsidP="00067EA8">
      <w:pPr>
        <w:spacing w:after="160" w:line="259" w:lineRule="auto"/>
        <w:rPr>
          <w:rFonts w:ascii="Arial" w:eastAsiaTheme="minorHAnsi" w:hAnsi="Arial" w:cs="Arial"/>
          <w:b/>
          <w:highlight w:val="yellow"/>
        </w:rPr>
      </w:pPr>
      <w:r w:rsidRPr="00423ADB">
        <w:rPr>
          <w:rFonts w:ascii="Arial" w:eastAsiaTheme="minorHAnsi" w:hAnsi="Arial" w:cs="Arial"/>
          <w:noProof/>
          <w:sz w:val="20"/>
          <w:szCs w:val="20"/>
        </w:rPr>
        <w:drawing>
          <wp:inline distT="0" distB="0" distL="0" distR="0" wp14:anchorId="4249C8A9" wp14:editId="23A3E45F">
            <wp:extent cx="5779770" cy="315214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9770" cy="3152140"/>
                    </a:xfrm>
                    <a:prstGeom prst="rect">
                      <a:avLst/>
                    </a:prstGeom>
                    <a:noFill/>
                  </pic:spPr>
                </pic:pic>
              </a:graphicData>
            </a:graphic>
          </wp:inline>
        </w:drawing>
      </w:r>
      <w:r w:rsidRPr="00423ADB">
        <w:rPr>
          <w:rFonts w:ascii="Arial" w:eastAsiaTheme="minorHAnsi" w:hAnsi="Arial" w:cs="Arial"/>
          <w:sz w:val="20"/>
          <w:szCs w:val="20"/>
        </w:rPr>
        <w:t>Zdroj: ČTÚ</w:t>
      </w:r>
    </w:p>
    <w:p w14:paraId="7CCF5A6A" w14:textId="6A45FCA4"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22</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tržních podílů na velkoobchodním trhu na základě objemu přenesených dat, včetně velkoobchodního přeprodeje bez zahrnutí samozásobení (k 31. 12. 2018)</w:t>
      </w:r>
      <w:r w:rsidRPr="00423ADB">
        <w:rPr>
          <w:rFonts w:ascii="Arial" w:eastAsiaTheme="minorHAnsi" w:hAnsi="Arial" w:cs="Arial"/>
          <w:sz w:val="20"/>
          <w:szCs w:val="20"/>
        </w:rPr>
        <w:t xml:space="preserve"> </w:t>
      </w:r>
    </w:p>
    <w:p w14:paraId="39CC94A3" w14:textId="77777777" w:rsidR="00067EA8" w:rsidRPr="00423ADB" w:rsidRDefault="00067EA8" w:rsidP="00067EA8">
      <w:pPr>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617CD658" wp14:editId="0D37D2E7">
            <wp:extent cx="5736590" cy="350520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6590" cy="3505200"/>
                    </a:xfrm>
                    <a:prstGeom prst="rect">
                      <a:avLst/>
                    </a:prstGeom>
                    <a:noFill/>
                  </pic:spPr>
                </pic:pic>
              </a:graphicData>
            </a:graphic>
          </wp:inline>
        </w:drawing>
      </w:r>
      <w:r w:rsidRPr="00423ADB">
        <w:rPr>
          <w:rFonts w:ascii="Arial" w:eastAsiaTheme="minorHAnsi" w:hAnsi="Arial" w:cs="Arial"/>
          <w:sz w:val="20"/>
          <w:szCs w:val="20"/>
        </w:rPr>
        <w:t>Zdroj: ČTÚ</w:t>
      </w:r>
    </w:p>
    <w:p w14:paraId="786EFC11" w14:textId="5C2C0BDE"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23</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tržních podílů na velkoobchodním trhu na základě objemu přenesených dat, včetně velkoobchodního přeprodeje se zahrnutím samozásobení (k 31. 12. 2018)</w:t>
      </w:r>
      <w:r w:rsidRPr="00423ADB">
        <w:rPr>
          <w:rFonts w:ascii="Arial" w:eastAsiaTheme="minorHAnsi" w:hAnsi="Arial" w:cs="Arial"/>
          <w:sz w:val="20"/>
          <w:szCs w:val="20"/>
        </w:rPr>
        <w:t xml:space="preserve"> </w:t>
      </w:r>
    </w:p>
    <w:p w14:paraId="54C9039F" w14:textId="77777777" w:rsidR="00067EA8" w:rsidRPr="00423ADB" w:rsidRDefault="00067EA8" w:rsidP="00067EA8">
      <w:pPr>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31A28EBB" wp14:editId="444A7938">
            <wp:extent cx="5755005" cy="314579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3145790"/>
                    </a:xfrm>
                    <a:prstGeom prst="rect">
                      <a:avLst/>
                    </a:prstGeom>
                    <a:noFill/>
                  </pic:spPr>
                </pic:pic>
              </a:graphicData>
            </a:graphic>
          </wp:inline>
        </w:drawing>
      </w:r>
      <w:r w:rsidRPr="00423ADB">
        <w:rPr>
          <w:rFonts w:ascii="Arial" w:eastAsiaTheme="minorHAnsi" w:hAnsi="Arial" w:cs="Arial"/>
          <w:sz w:val="20"/>
          <w:szCs w:val="20"/>
        </w:rPr>
        <w:t>Zdroj: ČTÚ</w:t>
      </w:r>
    </w:p>
    <w:p w14:paraId="3E9CD6E2" w14:textId="77777777" w:rsidR="00067EA8" w:rsidRPr="00423ADB" w:rsidRDefault="00067EA8" w:rsidP="00067EA8">
      <w:pPr>
        <w:keepNext/>
        <w:spacing w:after="160" w:line="259" w:lineRule="auto"/>
        <w:rPr>
          <w:rFonts w:ascii="Arial" w:eastAsiaTheme="minorHAnsi" w:hAnsi="Arial" w:cs="Arial"/>
          <w:b/>
          <w:u w:val="single"/>
        </w:rPr>
      </w:pPr>
      <w:r w:rsidRPr="00423ADB">
        <w:rPr>
          <w:rFonts w:ascii="Arial" w:eastAsiaTheme="minorHAnsi" w:hAnsi="Arial" w:cs="Arial"/>
          <w:b/>
          <w:u w:val="single"/>
        </w:rPr>
        <w:lastRenderedPageBreak/>
        <w:t>Cenové a provozní údaje</w:t>
      </w:r>
    </w:p>
    <w:p w14:paraId="21EC7A10" w14:textId="77777777" w:rsidR="00067EA8" w:rsidRPr="00423ADB" w:rsidRDefault="00067EA8" w:rsidP="00067EA8">
      <w:pPr>
        <w:keepNext/>
        <w:spacing w:after="160" w:line="259" w:lineRule="auto"/>
        <w:rPr>
          <w:rFonts w:ascii="Arial" w:eastAsiaTheme="minorHAnsi" w:hAnsi="Arial" w:cs="Arial"/>
          <w:b/>
          <w:u w:val="single"/>
        </w:rPr>
      </w:pPr>
    </w:p>
    <w:p w14:paraId="0813891D" w14:textId="2DC6C4FB" w:rsidR="00067EA8" w:rsidRPr="00423ADB" w:rsidRDefault="00067EA8" w:rsidP="00067EA8">
      <w:pPr>
        <w:keepNext/>
        <w:jc w:val="both"/>
        <w:rPr>
          <w:rFonts w:ascii="Arial" w:eastAsiaTheme="minorHAnsi" w:hAnsi="Arial" w:cs="Arial"/>
          <w:iCs/>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24</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iCs/>
          <w:szCs w:val="18"/>
        </w:rPr>
        <w:t xml:space="preserve"> Vývoj průměrných maloobchodních cen v Kč bez DPH (za min./SMS/MB)</w:t>
      </w:r>
      <w:r w:rsidRPr="00423ADB">
        <w:rPr>
          <w:rFonts w:ascii="Arial" w:eastAsiaTheme="minorHAnsi" w:hAnsi="Arial" w:cs="Arial"/>
          <w:iCs/>
          <w:sz w:val="20"/>
          <w:szCs w:val="20"/>
        </w:rPr>
        <w:t xml:space="preserve"> </w:t>
      </w:r>
    </w:p>
    <w:p w14:paraId="707FD415" w14:textId="77777777" w:rsidR="00067EA8" w:rsidRPr="00423ADB" w:rsidRDefault="00067EA8" w:rsidP="00067EA8">
      <w:pPr>
        <w:spacing w:after="160" w:line="259" w:lineRule="auto"/>
        <w:rPr>
          <w:rFonts w:ascii="Arial" w:eastAsiaTheme="minorHAnsi" w:hAnsi="Arial" w:cs="Arial"/>
          <w:b/>
        </w:rPr>
      </w:pPr>
      <w:r w:rsidRPr="00423ADB">
        <w:rPr>
          <w:rFonts w:ascii="Arial" w:eastAsiaTheme="minorHAnsi" w:hAnsi="Arial" w:cs="Arial"/>
          <w:noProof/>
          <w:sz w:val="20"/>
          <w:szCs w:val="20"/>
        </w:rPr>
        <w:drawing>
          <wp:inline distT="0" distB="0" distL="0" distR="0" wp14:anchorId="781938A6" wp14:editId="7A9F3A4D">
            <wp:extent cx="5736590" cy="2853055"/>
            <wp:effectExtent l="0" t="0" r="0" b="444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6590" cy="2853055"/>
                    </a:xfrm>
                    <a:prstGeom prst="rect">
                      <a:avLst/>
                    </a:prstGeom>
                    <a:noFill/>
                  </pic:spPr>
                </pic:pic>
              </a:graphicData>
            </a:graphic>
          </wp:inline>
        </w:drawing>
      </w:r>
      <w:r w:rsidRPr="00423ADB">
        <w:rPr>
          <w:rFonts w:ascii="Arial" w:eastAsiaTheme="minorHAnsi" w:hAnsi="Arial" w:cs="Arial"/>
          <w:sz w:val="20"/>
          <w:szCs w:val="20"/>
        </w:rPr>
        <w:t>Zdroj: ČTÚ</w:t>
      </w:r>
    </w:p>
    <w:p w14:paraId="72F80C75" w14:textId="25C06581"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25</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průměrné velkoobchodní ceny (v Kč bez DPH) za jednotlivé mobilní služby v Kč/minuta, SMS, či MB</w:t>
      </w:r>
      <w:r w:rsidRPr="00423ADB">
        <w:rPr>
          <w:rFonts w:ascii="Arial" w:eastAsiaTheme="minorHAnsi" w:hAnsi="Arial" w:cs="Arial"/>
          <w:sz w:val="20"/>
          <w:szCs w:val="20"/>
        </w:rPr>
        <w:t xml:space="preserve"> </w:t>
      </w:r>
    </w:p>
    <w:p w14:paraId="3102D4D3" w14:textId="77777777" w:rsidR="00067EA8" w:rsidRPr="00423ADB" w:rsidRDefault="00067EA8" w:rsidP="00067EA8">
      <w:pPr>
        <w:rPr>
          <w:rFonts w:ascii="Arial" w:eastAsiaTheme="minorHAnsi" w:hAnsi="Arial" w:cs="Arial"/>
          <w:sz w:val="20"/>
          <w:szCs w:val="20"/>
        </w:rPr>
      </w:pPr>
      <w:r w:rsidRPr="00423ADB">
        <w:rPr>
          <w:rFonts w:ascii="Arial" w:eastAsiaTheme="minorHAnsi" w:hAnsi="Arial" w:cs="Arial"/>
          <w:noProof/>
          <w:sz w:val="20"/>
          <w:szCs w:val="20"/>
        </w:rPr>
        <w:drawing>
          <wp:inline distT="0" distB="0" distL="0" distR="0" wp14:anchorId="498CA1DF" wp14:editId="332AB244">
            <wp:extent cx="5736590" cy="276796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6590" cy="2767965"/>
                    </a:xfrm>
                    <a:prstGeom prst="rect">
                      <a:avLst/>
                    </a:prstGeom>
                    <a:noFill/>
                  </pic:spPr>
                </pic:pic>
              </a:graphicData>
            </a:graphic>
          </wp:inline>
        </w:drawing>
      </w:r>
      <w:r w:rsidRPr="00423ADB">
        <w:rPr>
          <w:rFonts w:ascii="Arial" w:eastAsiaTheme="minorHAnsi" w:hAnsi="Arial" w:cs="Arial"/>
          <w:sz w:val="20"/>
          <w:szCs w:val="20"/>
        </w:rPr>
        <w:t>Zdroj: ČTÚ</w:t>
      </w:r>
    </w:p>
    <w:p w14:paraId="54AB60EB" w14:textId="61886D0B"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26</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počtu SMS, minut a objemu přenesených dat v letech 2010-2018</w:t>
      </w:r>
      <w:r w:rsidRPr="00423ADB">
        <w:rPr>
          <w:rFonts w:ascii="Arial" w:eastAsiaTheme="minorHAnsi" w:hAnsi="Arial" w:cs="Arial"/>
          <w:sz w:val="20"/>
          <w:szCs w:val="20"/>
        </w:rPr>
        <w:t xml:space="preserve"> </w:t>
      </w:r>
    </w:p>
    <w:p w14:paraId="4DB1EF09" w14:textId="77777777" w:rsidR="00067EA8" w:rsidRPr="00423ADB" w:rsidRDefault="00067EA8" w:rsidP="00067EA8">
      <w:pPr>
        <w:spacing w:after="160" w:line="259" w:lineRule="auto"/>
        <w:rPr>
          <w:rFonts w:ascii="Arial" w:eastAsiaTheme="minorHAnsi" w:hAnsi="Arial" w:cs="Arial"/>
          <w:b/>
          <w:i/>
          <w:highlight w:val="yellow"/>
        </w:rPr>
      </w:pPr>
      <w:r w:rsidRPr="00423ADB">
        <w:rPr>
          <w:rFonts w:ascii="Arial" w:eastAsiaTheme="minorHAnsi" w:hAnsi="Arial" w:cs="Arial"/>
          <w:noProof/>
          <w:sz w:val="20"/>
          <w:szCs w:val="20"/>
        </w:rPr>
        <w:drawing>
          <wp:inline distT="0" distB="0" distL="0" distR="0" wp14:anchorId="0805B4C5" wp14:editId="5DF4A9C7">
            <wp:extent cx="5657850" cy="24263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7850" cy="2426335"/>
                    </a:xfrm>
                    <a:prstGeom prst="rect">
                      <a:avLst/>
                    </a:prstGeom>
                    <a:noFill/>
                  </pic:spPr>
                </pic:pic>
              </a:graphicData>
            </a:graphic>
          </wp:inline>
        </w:drawing>
      </w:r>
      <w:r w:rsidRPr="00423ADB">
        <w:rPr>
          <w:rFonts w:ascii="Arial" w:eastAsiaTheme="minorHAnsi" w:hAnsi="Arial" w:cs="Arial"/>
          <w:sz w:val="20"/>
          <w:szCs w:val="20"/>
        </w:rPr>
        <w:t>Zdroj: ČTÚ</w:t>
      </w:r>
    </w:p>
    <w:p w14:paraId="3E2C1A0A" w14:textId="4B1A0777"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27</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tržeb (v Kč bez DPH) za hlasové a datové služby na maloobchodním trhu</w:t>
      </w:r>
      <w:r w:rsidRPr="00423ADB">
        <w:rPr>
          <w:rFonts w:ascii="Arial" w:eastAsiaTheme="minorHAnsi" w:hAnsi="Arial" w:cs="Arial"/>
          <w:sz w:val="20"/>
          <w:szCs w:val="20"/>
        </w:rPr>
        <w:t xml:space="preserve"> </w:t>
      </w:r>
    </w:p>
    <w:p w14:paraId="3CEFCF72" w14:textId="77777777" w:rsidR="00067EA8" w:rsidRPr="00423ADB" w:rsidRDefault="00067EA8" w:rsidP="00067EA8">
      <w:pPr>
        <w:spacing w:after="160" w:line="259" w:lineRule="auto"/>
        <w:rPr>
          <w:rFonts w:ascii="Arial" w:eastAsiaTheme="minorHAnsi" w:hAnsi="Arial" w:cs="Arial"/>
          <w:b/>
          <w:i/>
          <w:highlight w:val="yellow"/>
        </w:rPr>
      </w:pPr>
      <w:r w:rsidRPr="00423ADB">
        <w:rPr>
          <w:rFonts w:ascii="Arial" w:eastAsiaTheme="minorHAnsi" w:hAnsi="Arial" w:cs="Arial"/>
          <w:noProof/>
          <w:sz w:val="20"/>
          <w:szCs w:val="20"/>
        </w:rPr>
        <w:drawing>
          <wp:inline distT="0" distB="0" distL="0" distR="0" wp14:anchorId="0E222AB0" wp14:editId="4FCC4AEC">
            <wp:extent cx="5694045" cy="2993390"/>
            <wp:effectExtent l="0" t="0" r="1905"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4045" cy="2993390"/>
                    </a:xfrm>
                    <a:prstGeom prst="rect">
                      <a:avLst/>
                    </a:prstGeom>
                    <a:noFill/>
                  </pic:spPr>
                </pic:pic>
              </a:graphicData>
            </a:graphic>
          </wp:inline>
        </w:drawing>
      </w:r>
      <w:r w:rsidRPr="00423ADB">
        <w:rPr>
          <w:rFonts w:ascii="Arial" w:eastAsiaTheme="minorHAnsi" w:hAnsi="Arial" w:cs="Arial"/>
          <w:sz w:val="20"/>
          <w:szCs w:val="20"/>
        </w:rPr>
        <w:t>Zdroj: ČTÚ</w:t>
      </w:r>
    </w:p>
    <w:p w14:paraId="56F60BC6" w14:textId="77777777" w:rsidR="00067EA8" w:rsidRPr="00423ADB" w:rsidRDefault="00067EA8" w:rsidP="00067EA8">
      <w:pPr>
        <w:keepNext/>
        <w:spacing w:after="160" w:line="259" w:lineRule="auto"/>
        <w:rPr>
          <w:rFonts w:ascii="Arial" w:eastAsiaTheme="minorHAnsi" w:hAnsi="Arial" w:cs="Arial"/>
          <w:b/>
          <w:u w:val="single"/>
        </w:rPr>
      </w:pPr>
      <w:r w:rsidRPr="00423ADB">
        <w:rPr>
          <w:rFonts w:ascii="Arial" w:eastAsiaTheme="minorHAnsi" w:hAnsi="Arial" w:cs="Arial"/>
          <w:b/>
          <w:u w:val="single"/>
        </w:rPr>
        <w:lastRenderedPageBreak/>
        <w:t>Ostatní údaje</w:t>
      </w:r>
    </w:p>
    <w:p w14:paraId="382E9015" w14:textId="77777777" w:rsidR="00067EA8" w:rsidRPr="00423ADB" w:rsidRDefault="00067EA8" w:rsidP="00067EA8">
      <w:pPr>
        <w:keepNext/>
        <w:spacing w:after="160" w:line="259" w:lineRule="auto"/>
        <w:rPr>
          <w:rFonts w:ascii="Arial" w:eastAsiaTheme="minorHAnsi" w:hAnsi="Arial" w:cs="Arial"/>
          <w:b/>
          <w:u w:val="single"/>
        </w:rPr>
      </w:pPr>
    </w:p>
    <w:p w14:paraId="6D5A57B5" w14:textId="52B50804" w:rsidR="00067EA8" w:rsidRPr="00423ADB" w:rsidRDefault="00067EA8" w:rsidP="00067EA8">
      <w:pPr>
        <w:keepNext/>
        <w:spacing w:after="160" w:line="259" w:lineRule="auto"/>
        <w:rPr>
          <w:rFonts w:ascii="Arial" w:eastAsiaTheme="minorHAnsi" w:hAnsi="Arial" w:cs="Arial"/>
          <w:b/>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28</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počtu přenesených telefonních čísel v mobilních sítích v období 2009-2018</w:t>
      </w:r>
    </w:p>
    <w:p w14:paraId="3DE3B20A" w14:textId="77777777" w:rsidR="00067EA8" w:rsidRPr="00423ADB" w:rsidRDefault="00067EA8" w:rsidP="00067EA8">
      <w:pPr>
        <w:spacing w:after="0" w:line="259" w:lineRule="auto"/>
        <w:rPr>
          <w:rFonts w:ascii="Arial" w:eastAsiaTheme="minorHAnsi" w:hAnsi="Arial" w:cs="Arial"/>
          <w:b/>
          <w:i/>
          <w:highlight w:val="yellow"/>
        </w:rPr>
      </w:pPr>
      <w:r w:rsidRPr="00423ADB">
        <w:rPr>
          <w:rFonts w:ascii="Arial" w:eastAsiaTheme="minorHAnsi" w:hAnsi="Arial" w:cs="Arial"/>
          <w:b/>
          <w:i/>
          <w:noProof/>
          <w:highlight w:val="yellow"/>
        </w:rPr>
        <w:drawing>
          <wp:inline distT="0" distB="0" distL="0" distR="0" wp14:anchorId="6B632748" wp14:editId="55E6F668">
            <wp:extent cx="5724525" cy="2908300"/>
            <wp:effectExtent l="0" t="0" r="9525" b="63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2908300"/>
                    </a:xfrm>
                    <a:prstGeom prst="rect">
                      <a:avLst/>
                    </a:prstGeom>
                    <a:noFill/>
                  </pic:spPr>
                </pic:pic>
              </a:graphicData>
            </a:graphic>
          </wp:inline>
        </w:drawing>
      </w:r>
    </w:p>
    <w:p w14:paraId="63320A10" w14:textId="77777777" w:rsidR="00067EA8" w:rsidRPr="00423ADB" w:rsidRDefault="00067EA8" w:rsidP="00067EA8">
      <w:pPr>
        <w:spacing w:after="160" w:line="259" w:lineRule="auto"/>
        <w:rPr>
          <w:rFonts w:ascii="Arial" w:eastAsiaTheme="minorHAnsi" w:hAnsi="Arial" w:cs="Arial"/>
          <w:sz w:val="20"/>
          <w:szCs w:val="20"/>
        </w:rPr>
      </w:pPr>
      <w:r w:rsidRPr="00423ADB">
        <w:rPr>
          <w:rFonts w:ascii="Arial" w:eastAsiaTheme="minorHAnsi" w:hAnsi="Arial" w:cs="Arial"/>
          <w:sz w:val="20"/>
          <w:szCs w:val="20"/>
        </w:rPr>
        <w:t>Zdroj: CNPAC</w:t>
      </w:r>
    </w:p>
    <w:p w14:paraId="11B8FF40" w14:textId="78E58642" w:rsidR="00067EA8" w:rsidRPr="00423ADB" w:rsidRDefault="00067EA8" w:rsidP="00067EA8">
      <w:pPr>
        <w:keepNext/>
        <w:spacing w:after="160" w:line="259" w:lineRule="auto"/>
        <w:rPr>
          <w:rFonts w:ascii="Arial" w:eastAsiaTheme="minorHAnsi" w:hAnsi="Arial" w:cs="Arial"/>
          <w:sz w:val="20"/>
          <w:szCs w:val="20"/>
        </w:rPr>
      </w:pPr>
      <w:r w:rsidRPr="00423ADB">
        <w:rPr>
          <w:rFonts w:ascii="Arial" w:hAnsi="Arial" w:cs="Arial"/>
          <w:b/>
          <w:iCs/>
        </w:rPr>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29</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počtu subjektů poskytující mobilní služby na segmentu A</w:t>
      </w:r>
      <w:r w:rsidRPr="00423ADB">
        <w:rPr>
          <w:rFonts w:ascii="Arial" w:eastAsiaTheme="minorHAnsi" w:hAnsi="Arial" w:cs="Arial"/>
          <w:sz w:val="20"/>
          <w:szCs w:val="20"/>
        </w:rPr>
        <w:t xml:space="preserve"> </w:t>
      </w:r>
    </w:p>
    <w:p w14:paraId="01250243" w14:textId="77777777" w:rsidR="00067EA8" w:rsidRPr="00423ADB" w:rsidRDefault="00067EA8" w:rsidP="00067EA8">
      <w:pPr>
        <w:spacing w:after="160" w:line="259" w:lineRule="auto"/>
        <w:rPr>
          <w:rFonts w:ascii="Arial" w:eastAsiaTheme="minorHAnsi" w:hAnsi="Arial" w:cs="Arial"/>
          <w:b/>
          <w:i/>
          <w:highlight w:val="yellow"/>
        </w:rPr>
      </w:pPr>
      <w:r w:rsidRPr="00423ADB">
        <w:rPr>
          <w:rFonts w:ascii="Arial" w:eastAsiaTheme="minorHAnsi" w:hAnsi="Arial" w:cs="Arial"/>
          <w:noProof/>
          <w:sz w:val="20"/>
          <w:szCs w:val="20"/>
        </w:rPr>
        <w:drawing>
          <wp:inline distT="0" distB="0" distL="0" distR="0" wp14:anchorId="1887DA5C" wp14:editId="2ED0C873">
            <wp:extent cx="5706110" cy="3249295"/>
            <wp:effectExtent l="0" t="0" r="8890" b="825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6110" cy="3249295"/>
                    </a:xfrm>
                    <a:prstGeom prst="rect">
                      <a:avLst/>
                    </a:prstGeom>
                    <a:noFill/>
                  </pic:spPr>
                </pic:pic>
              </a:graphicData>
            </a:graphic>
          </wp:inline>
        </w:drawing>
      </w:r>
      <w:r w:rsidRPr="00423ADB">
        <w:rPr>
          <w:rFonts w:ascii="Arial" w:eastAsiaTheme="minorHAnsi" w:hAnsi="Arial" w:cs="Arial"/>
          <w:sz w:val="20"/>
          <w:szCs w:val="20"/>
        </w:rPr>
        <w:t>Zdroj: ČTÚ</w:t>
      </w:r>
    </w:p>
    <w:p w14:paraId="03D466D0" w14:textId="6814A733" w:rsidR="00067EA8" w:rsidRPr="00423ADB" w:rsidRDefault="00067EA8" w:rsidP="00067EA8">
      <w:pPr>
        <w:keepNext/>
        <w:spacing w:after="160" w:line="259" w:lineRule="auto"/>
        <w:rPr>
          <w:rFonts w:ascii="Arial" w:eastAsiaTheme="minorHAnsi" w:hAnsi="Arial" w:cs="Arial"/>
          <w:b/>
        </w:rPr>
      </w:pPr>
      <w:r w:rsidRPr="00423ADB">
        <w:rPr>
          <w:rFonts w:ascii="Arial" w:hAnsi="Arial" w:cs="Arial"/>
          <w:b/>
          <w:iCs/>
        </w:rPr>
        <w:lastRenderedPageBreak/>
        <w:t xml:space="preserve">Graf č. </w:t>
      </w:r>
      <w:r w:rsidRPr="00423ADB">
        <w:rPr>
          <w:rFonts w:ascii="Arial" w:hAnsi="Arial" w:cs="Arial"/>
          <w:b/>
          <w:iCs/>
        </w:rPr>
        <w:fldChar w:fldCharType="begin"/>
      </w:r>
      <w:r w:rsidRPr="00423ADB">
        <w:rPr>
          <w:rFonts w:ascii="Arial" w:hAnsi="Arial" w:cs="Arial"/>
          <w:b/>
          <w:iCs/>
        </w:rPr>
        <w:instrText xml:space="preserve"> SEQ Graf \* ARABIC </w:instrText>
      </w:r>
      <w:r w:rsidRPr="00423ADB">
        <w:rPr>
          <w:rFonts w:ascii="Arial" w:hAnsi="Arial" w:cs="Arial"/>
          <w:b/>
          <w:iCs/>
        </w:rPr>
        <w:fldChar w:fldCharType="separate"/>
      </w:r>
      <w:r w:rsidR="00F9308E" w:rsidRPr="00423ADB">
        <w:rPr>
          <w:rFonts w:ascii="Arial" w:hAnsi="Arial" w:cs="Arial"/>
          <w:b/>
          <w:iCs/>
          <w:noProof/>
        </w:rPr>
        <w:t>30</w:t>
      </w:r>
      <w:r w:rsidRPr="00423ADB">
        <w:rPr>
          <w:rFonts w:ascii="Arial" w:hAnsi="Arial" w:cs="Arial"/>
          <w:b/>
          <w:iCs/>
        </w:rPr>
        <w:fldChar w:fldCharType="end"/>
      </w:r>
      <w:r w:rsidRPr="00423ADB">
        <w:rPr>
          <w:rFonts w:ascii="Arial" w:hAnsi="Arial" w:cs="Arial"/>
          <w:b/>
          <w:iCs/>
        </w:rPr>
        <w:t>:</w:t>
      </w:r>
      <w:r w:rsidRPr="00423ADB">
        <w:rPr>
          <w:rFonts w:ascii="Arial" w:eastAsiaTheme="minorHAnsi" w:hAnsi="Arial" w:cs="Arial"/>
          <w:b/>
        </w:rPr>
        <w:t xml:space="preserve"> Vývoj počtu subjektů poskytující mobilní služby na segmentu B</w:t>
      </w:r>
    </w:p>
    <w:p w14:paraId="0678DBF6" w14:textId="77777777" w:rsidR="00067EA8" w:rsidRPr="00423ADB" w:rsidRDefault="00067EA8" w:rsidP="00067EA8">
      <w:pPr>
        <w:keepNext/>
        <w:keepLines/>
        <w:spacing w:after="0" w:line="240" w:lineRule="auto"/>
        <w:ind w:left="1361" w:hanging="1361"/>
        <w:jc w:val="both"/>
        <w:rPr>
          <w:rFonts w:ascii="Arial" w:eastAsiaTheme="minorHAnsi" w:hAnsi="Arial" w:cs="Arial"/>
          <w:b/>
        </w:rPr>
      </w:pPr>
      <w:r w:rsidRPr="00423ADB">
        <w:rPr>
          <w:rFonts w:ascii="Arial" w:eastAsiaTheme="minorHAnsi" w:hAnsi="Arial" w:cs="Arial"/>
          <w:b/>
          <w:noProof/>
        </w:rPr>
        <w:drawing>
          <wp:inline distT="0" distB="0" distL="0" distR="0" wp14:anchorId="1AA6B321" wp14:editId="0832BA2E">
            <wp:extent cx="5694045" cy="3462655"/>
            <wp:effectExtent l="0" t="0" r="1905" b="444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4045" cy="3462655"/>
                    </a:xfrm>
                    <a:prstGeom prst="rect">
                      <a:avLst/>
                    </a:prstGeom>
                    <a:noFill/>
                  </pic:spPr>
                </pic:pic>
              </a:graphicData>
            </a:graphic>
          </wp:inline>
        </w:drawing>
      </w:r>
    </w:p>
    <w:p w14:paraId="659B1349" w14:textId="77777777" w:rsidR="00067EA8" w:rsidRPr="00423ADB" w:rsidRDefault="00067EA8" w:rsidP="00067EA8">
      <w:pPr>
        <w:keepNext/>
        <w:spacing w:line="240" w:lineRule="auto"/>
        <w:jc w:val="both"/>
        <w:rPr>
          <w:rFonts w:ascii="Arial" w:eastAsiaTheme="minorHAnsi" w:hAnsi="Arial" w:cs="Arial"/>
          <w:b/>
        </w:rPr>
      </w:pPr>
      <w:r w:rsidRPr="00423ADB">
        <w:rPr>
          <w:rFonts w:ascii="Arial" w:eastAsiaTheme="minorHAnsi" w:hAnsi="Arial" w:cs="Arial"/>
          <w:sz w:val="20"/>
          <w:szCs w:val="20"/>
        </w:rPr>
        <w:t>Zdroj: ČTÚ</w:t>
      </w:r>
      <w:r w:rsidRPr="00423ADB">
        <w:rPr>
          <w:rFonts w:ascii="Arial" w:eastAsiaTheme="minorHAnsi" w:hAnsi="Arial" w:cs="Arial"/>
          <w:b/>
        </w:rPr>
        <w:t xml:space="preserve"> </w:t>
      </w:r>
    </w:p>
    <w:p w14:paraId="09FE9E4C" w14:textId="184A39AB" w:rsidR="000F7A61" w:rsidRPr="00423ADB" w:rsidRDefault="00287307" w:rsidP="00411AE4">
      <w:pPr>
        <w:tabs>
          <w:tab w:val="center" w:pos="6521"/>
          <w:tab w:val="decimal" w:pos="6840"/>
        </w:tabs>
        <w:spacing w:after="0"/>
        <w:rPr>
          <w:rFonts w:ascii="Arial" w:hAnsi="Arial" w:cs="Arial"/>
        </w:rPr>
      </w:pPr>
      <w:r w:rsidRPr="00423ADB">
        <w:rPr>
          <w:rFonts w:ascii="Arial" w:hAnsi="Arial" w:cs="Arial"/>
        </w:rPr>
        <w:br/>
      </w:r>
      <w:r w:rsidRPr="00423ADB">
        <w:rPr>
          <w:rFonts w:ascii="Arial" w:hAnsi="Arial" w:cs="Arial"/>
        </w:rPr>
        <w:br/>
      </w:r>
    </w:p>
    <w:sectPr w:rsidR="000F7A61" w:rsidRPr="00423ADB" w:rsidSect="007F17B4">
      <w:footerReference w:type="default" r:id="rId49"/>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F24C1" w14:textId="77777777" w:rsidR="007F17B4" w:rsidRDefault="007F17B4" w:rsidP="00401A7A">
      <w:pPr>
        <w:spacing w:after="0" w:line="240" w:lineRule="auto"/>
      </w:pPr>
      <w:r>
        <w:separator/>
      </w:r>
    </w:p>
  </w:endnote>
  <w:endnote w:type="continuationSeparator" w:id="0">
    <w:p w14:paraId="7587C861" w14:textId="77777777" w:rsidR="007F17B4" w:rsidRDefault="007F17B4" w:rsidP="00401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723807"/>
      <w:docPartObj>
        <w:docPartGallery w:val="Page Numbers (Bottom of Page)"/>
        <w:docPartUnique/>
      </w:docPartObj>
    </w:sdtPr>
    <w:sdtContent>
      <w:p w14:paraId="79251C8A" w14:textId="404C4757" w:rsidR="007F17B4" w:rsidRDefault="007F17B4">
        <w:pPr>
          <w:pStyle w:val="Zpat"/>
          <w:jc w:val="center"/>
        </w:pPr>
        <w:r>
          <w:fldChar w:fldCharType="begin"/>
        </w:r>
        <w:r>
          <w:instrText>PAGE   \* MERGEFORMAT</w:instrText>
        </w:r>
        <w:r>
          <w:fldChar w:fldCharType="separate"/>
        </w:r>
        <w:r>
          <w:t>2</w:t>
        </w:r>
        <w:r>
          <w:fldChar w:fldCharType="end"/>
        </w:r>
        <w:r>
          <w:t>/</w:t>
        </w:r>
        <w:fldSimple w:instr=" NUMPAGES   \* MERGEFORMAT ">
          <w:r>
            <w:rPr>
              <w:noProof/>
            </w:rPr>
            <w:t>80</w:t>
          </w:r>
        </w:fldSimple>
      </w:p>
    </w:sdtContent>
  </w:sdt>
  <w:p w14:paraId="26137F15" w14:textId="77777777" w:rsidR="007F17B4" w:rsidRDefault="007F17B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23E96" w14:textId="77777777" w:rsidR="007F17B4" w:rsidRDefault="007F17B4" w:rsidP="00401A7A">
      <w:pPr>
        <w:spacing w:after="0" w:line="240" w:lineRule="auto"/>
      </w:pPr>
      <w:r>
        <w:separator/>
      </w:r>
    </w:p>
  </w:footnote>
  <w:footnote w:type="continuationSeparator" w:id="0">
    <w:p w14:paraId="1070EAF9" w14:textId="77777777" w:rsidR="007F17B4" w:rsidRDefault="007F17B4" w:rsidP="00401A7A">
      <w:pPr>
        <w:spacing w:after="0" w:line="240" w:lineRule="auto"/>
      </w:pPr>
      <w:r>
        <w:continuationSeparator/>
      </w:r>
    </w:p>
  </w:footnote>
  <w:footnote w:id="1">
    <w:p w14:paraId="0830D2DE" w14:textId="77777777" w:rsidR="007F17B4" w:rsidRPr="007A7E06" w:rsidRDefault="007F17B4" w:rsidP="00D3349C">
      <w:pPr>
        <w:pStyle w:val="Textpoznpodarou"/>
        <w:rPr>
          <w:rFonts w:ascii="Arial" w:hAnsi="Arial" w:cs="Arial"/>
          <w:sz w:val="16"/>
          <w:szCs w:val="16"/>
        </w:rPr>
      </w:pPr>
      <w:r w:rsidRPr="007A7E06">
        <w:rPr>
          <w:rStyle w:val="Znakapoznpodarou"/>
          <w:rFonts w:ascii="Arial" w:hAnsi="Arial" w:cs="Arial"/>
          <w:sz w:val="16"/>
          <w:szCs w:val="16"/>
        </w:rPr>
        <w:footnoteRef/>
      </w:r>
      <w:r w:rsidRPr="007A7E06">
        <w:rPr>
          <w:rFonts w:ascii="Arial" w:hAnsi="Arial" w:cs="Arial"/>
          <w:sz w:val="16"/>
          <w:szCs w:val="16"/>
        </w:rPr>
        <w:t xml:space="preserve"> </w:t>
      </w:r>
      <w:r w:rsidRPr="007A7E06">
        <w:rPr>
          <w:rFonts w:ascii="Arial" w:hAnsi="Arial" w:cs="Arial"/>
          <w:i/>
          <w:sz w:val="16"/>
          <w:szCs w:val="16"/>
        </w:rPr>
        <w:t>Metodika analýz relevantních trhů</w:t>
      </w:r>
      <w:r w:rsidRPr="007A7E06">
        <w:rPr>
          <w:rFonts w:ascii="Arial" w:hAnsi="Arial" w:cs="Arial"/>
          <w:sz w:val="16"/>
          <w:szCs w:val="16"/>
        </w:rPr>
        <w:t xml:space="preserve"> – dostupná online zde: https://www.ctu.cz/metodika-analyz-relevantnich-trhu.</w:t>
      </w:r>
    </w:p>
  </w:footnote>
  <w:footnote w:id="2">
    <w:p w14:paraId="6E2DF1B1" w14:textId="77777777" w:rsidR="007F17B4" w:rsidRPr="007A7E06" w:rsidRDefault="007F17B4" w:rsidP="00D3349C">
      <w:pPr>
        <w:pStyle w:val="Textpoznpodarou"/>
        <w:rPr>
          <w:rFonts w:ascii="Arial" w:hAnsi="Arial" w:cs="Arial"/>
          <w:sz w:val="16"/>
          <w:szCs w:val="16"/>
        </w:rPr>
      </w:pPr>
      <w:r w:rsidRPr="007A7E06">
        <w:rPr>
          <w:rStyle w:val="Znakapoznpodarou"/>
          <w:rFonts w:ascii="Arial" w:hAnsi="Arial" w:cs="Arial"/>
          <w:sz w:val="16"/>
          <w:szCs w:val="16"/>
        </w:rPr>
        <w:footnoteRef/>
      </w:r>
      <w:r w:rsidRPr="007A7E06">
        <w:rPr>
          <w:rFonts w:ascii="Arial" w:hAnsi="Arial" w:cs="Arial"/>
          <w:sz w:val="16"/>
          <w:szCs w:val="16"/>
        </w:rPr>
        <w:t xml:space="preserve"> Oznámení podle článku 7 směrnice Evropského parlamentu a Rady 2002/21/ES ze dne 7. března 2002 o společném předpisovém rámci pro sítě a služby elektronických komunikací (rámcová směrnice).</w:t>
      </w:r>
    </w:p>
  </w:footnote>
  <w:footnote w:id="3">
    <w:p w14:paraId="58C0B1C7" w14:textId="77777777" w:rsidR="007F17B4" w:rsidRDefault="007F17B4" w:rsidP="00B5332B">
      <w:pPr>
        <w:pStyle w:val="Textpoznpodarou"/>
      </w:pPr>
      <w:r w:rsidRPr="007A7E06">
        <w:rPr>
          <w:rStyle w:val="Znakapoznpodarou"/>
          <w:rFonts w:ascii="Arial" w:hAnsi="Arial" w:cs="Arial"/>
          <w:sz w:val="16"/>
          <w:szCs w:val="16"/>
        </w:rPr>
        <w:footnoteRef/>
      </w:r>
      <w:r w:rsidRPr="007A7E06">
        <w:rPr>
          <w:rFonts w:ascii="Arial" w:hAnsi="Arial" w:cs="Arial"/>
          <w:sz w:val="16"/>
          <w:szCs w:val="16"/>
        </w:rPr>
        <w:t xml:space="preserve"> Rozhodnutí Komise ve věci CZ/2019/2189.</w:t>
      </w:r>
    </w:p>
  </w:footnote>
  <w:footnote w:id="4">
    <w:p w14:paraId="5D4E8930" w14:textId="70A6A19F" w:rsidR="007F17B4" w:rsidRPr="00946382" w:rsidRDefault="007F17B4">
      <w:pPr>
        <w:pStyle w:val="Textpoznpodarou"/>
        <w:rPr>
          <w:rFonts w:ascii="Arial" w:hAnsi="Arial" w:cs="Arial"/>
          <w:sz w:val="16"/>
          <w:szCs w:val="16"/>
        </w:rPr>
      </w:pPr>
      <w:r w:rsidRPr="00946382">
        <w:rPr>
          <w:rStyle w:val="Znakapoznpodarou"/>
          <w:rFonts w:ascii="Arial" w:hAnsi="Arial" w:cs="Arial"/>
          <w:sz w:val="16"/>
          <w:szCs w:val="16"/>
        </w:rPr>
        <w:footnoteRef/>
      </w:r>
      <w:r w:rsidRPr="00946382">
        <w:rPr>
          <w:rFonts w:ascii="Arial" w:hAnsi="Arial" w:cs="Arial"/>
          <w:sz w:val="16"/>
          <w:szCs w:val="16"/>
        </w:rPr>
        <w:t xml:space="preserve"> </w:t>
      </w:r>
      <w:r w:rsidRPr="00946382">
        <w:rPr>
          <w:rFonts w:ascii="Arial" w:hAnsi="Arial" w:cs="Arial"/>
          <w:i/>
          <w:sz w:val="16"/>
          <w:szCs w:val="16"/>
        </w:rPr>
        <w:t>Metodika analýz relevantních trhů</w:t>
      </w:r>
      <w:r w:rsidRPr="00946382">
        <w:rPr>
          <w:rFonts w:ascii="Arial" w:hAnsi="Arial" w:cs="Arial"/>
          <w:sz w:val="16"/>
          <w:szCs w:val="16"/>
        </w:rPr>
        <w:t xml:space="preserve"> – dostupná online zde: https://www.ctu.cz/metodika-analyz-relevantnich-trhu.</w:t>
      </w:r>
    </w:p>
  </w:footnote>
  <w:footnote w:id="5">
    <w:p w14:paraId="1FD5ECAF" w14:textId="5C2669D1" w:rsidR="007F17B4" w:rsidRDefault="007F17B4">
      <w:pPr>
        <w:pStyle w:val="Textpoznpodarou"/>
      </w:pPr>
      <w:r>
        <w:rPr>
          <w:rStyle w:val="Znakapoznpodarou"/>
        </w:rPr>
        <w:footnoteRef/>
      </w:r>
      <w:r w:rsidRPr="00070F17">
        <w:rPr>
          <w:rFonts w:ascii="Arial" w:hAnsi="Arial" w:cs="Arial"/>
          <w:sz w:val="16"/>
          <w:szCs w:val="16"/>
        </w:rPr>
        <w:t xml:space="preserve"> Viz </w:t>
      </w:r>
      <w:hyperlink r:id="rId1" w:history="1">
        <w:r w:rsidRPr="00070F17">
          <w:rPr>
            <w:rStyle w:val="Hypertextovodkaz"/>
            <w:rFonts w:ascii="Arial" w:hAnsi="Arial" w:cs="Arial"/>
            <w:sz w:val="16"/>
            <w:szCs w:val="16"/>
          </w:rPr>
          <w:t>https://ec.europa.eu/digital-single-market/en/news/explanatory-note-accompanying-commission-recommendation-relevant-product-and-service-markets</w:t>
        </w:r>
      </w:hyperlink>
      <w:r w:rsidRPr="00070F17">
        <w:rPr>
          <w:rFonts w:ascii="Arial" w:hAnsi="Arial" w:cs="Arial"/>
          <w:sz w:val="16"/>
          <w:szCs w:val="16"/>
        </w:rPr>
        <w:t>, str. 9</w:t>
      </w:r>
    </w:p>
  </w:footnote>
  <w:footnote w:id="6">
    <w:p w14:paraId="484D8065" w14:textId="77777777" w:rsidR="007F17B4" w:rsidRPr="00400A04" w:rsidRDefault="007F17B4" w:rsidP="00985A53">
      <w:pPr>
        <w:pStyle w:val="Textpoznpodarou"/>
        <w:contextualSpacing/>
        <w:rPr>
          <w:rFonts w:ascii="Arial" w:hAnsi="Arial" w:cs="Arial"/>
          <w:sz w:val="16"/>
          <w:szCs w:val="16"/>
        </w:rPr>
      </w:pPr>
      <w:r w:rsidRPr="00400A04">
        <w:rPr>
          <w:rStyle w:val="Znakapoznpodarou"/>
          <w:rFonts w:ascii="Arial" w:hAnsi="Arial" w:cs="Arial"/>
          <w:sz w:val="16"/>
          <w:szCs w:val="16"/>
        </w:rPr>
        <w:footnoteRef/>
      </w:r>
      <w:r w:rsidRPr="00400A04">
        <w:rPr>
          <w:rFonts w:ascii="Arial" w:hAnsi="Arial" w:cs="Arial"/>
          <w:sz w:val="16"/>
          <w:szCs w:val="16"/>
        </w:rPr>
        <w:t xml:space="preserve"> Oznámení podle článku 7 směrnice Evropského parlamentu a Rady 2002/21/ES ze dne 7. března 2002 o společném předpisovém rámci pro sítě a služby elektronických komunikací (rámcová směrnice)</w:t>
      </w:r>
    </w:p>
  </w:footnote>
  <w:footnote w:id="7">
    <w:p w14:paraId="1B746CA3" w14:textId="26483289" w:rsidR="007F17B4" w:rsidRDefault="007F17B4">
      <w:pPr>
        <w:pStyle w:val="Textpoznpodarou"/>
      </w:pPr>
      <w:r w:rsidRPr="0017698E">
        <w:rPr>
          <w:rStyle w:val="Znakapoznpodarou"/>
        </w:rPr>
        <w:footnoteRef/>
      </w:r>
      <w:r w:rsidRPr="0017698E">
        <w:rPr>
          <w:rFonts w:ascii="Arial" w:hAnsi="Arial" w:cs="Arial"/>
          <w:sz w:val="16"/>
          <w:szCs w:val="16"/>
        </w:rPr>
        <w:t xml:space="preserve"> Na dotazy zaslané EK 1. července 2019 odpověděl Úřad 4. července 2019. Na dotazy zaslané EK 8. července 2019 odpověděl Úřad 9. července 2019.</w:t>
      </w:r>
    </w:p>
  </w:footnote>
  <w:footnote w:id="8">
    <w:p w14:paraId="60438B37" w14:textId="77777777" w:rsidR="007F17B4" w:rsidRPr="00400A04" w:rsidRDefault="007F17B4" w:rsidP="00985A53">
      <w:pPr>
        <w:pStyle w:val="Textpoznpodarou"/>
        <w:contextualSpacing/>
        <w:rPr>
          <w:rFonts w:ascii="Arial" w:hAnsi="Arial" w:cs="Arial"/>
          <w:sz w:val="16"/>
          <w:szCs w:val="16"/>
        </w:rPr>
      </w:pPr>
      <w:r w:rsidRPr="00400A04">
        <w:rPr>
          <w:rStyle w:val="Znakapoznpodarou"/>
          <w:rFonts w:ascii="Arial" w:hAnsi="Arial" w:cs="Arial"/>
          <w:sz w:val="16"/>
          <w:szCs w:val="16"/>
        </w:rPr>
        <w:footnoteRef/>
      </w:r>
      <w:r w:rsidRPr="00400A04">
        <w:rPr>
          <w:rFonts w:ascii="Arial" w:hAnsi="Arial" w:cs="Arial"/>
          <w:sz w:val="16"/>
          <w:szCs w:val="16"/>
        </w:rPr>
        <w:t xml:space="preserve"> Rozhodnutí Komise ve věci CZ/2019/2189.</w:t>
      </w:r>
    </w:p>
  </w:footnote>
  <w:footnote w:id="9">
    <w:p w14:paraId="1A40A5BC" w14:textId="77777777" w:rsidR="007F17B4" w:rsidRDefault="007F17B4" w:rsidP="00985A53">
      <w:pPr>
        <w:pStyle w:val="Textpoznpodarou"/>
        <w:contextualSpacing/>
        <w:jc w:val="both"/>
      </w:pPr>
      <w:r w:rsidRPr="00400A04">
        <w:rPr>
          <w:rStyle w:val="Znakapoznpodarou"/>
          <w:rFonts w:ascii="Arial" w:hAnsi="Arial" w:cs="Arial"/>
          <w:sz w:val="16"/>
          <w:szCs w:val="16"/>
        </w:rPr>
        <w:footnoteRef/>
      </w:r>
      <w:r w:rsidRPr="00400A04">
        <w:rPr>
          <w:rFonts w:ascii="Arial" w:hAnsi="Arial" w:cs="Arial"/>
          <w:sz w:val="16"/>
          <w:szCs w:val="16"/>
        </w:rPr>
        <w:t xml:space="preserve"> Podle čl. 67 odst. 1 a 3 směrnice Evropského parlamentu a Rady (EU) 2018/1972 ze dne 11. prosince 2018, kterou se stanoví evropský kodex pro elektronické komunikace (kodex) (</w:t>
      </w:r>
      <w:proofErr w:type="spellStart"/>
      <w:r w:rsidRPr="00400A04">
        <w:rPr>
          <w:rFonts w:ascii="Arial" w:hAnsi="Arial" w:cs="Arial"/>
          <w:sz w:val="16"/>
          <w:szCs w:val="16"/>
        </w:rPr>
        <w:t>Úř</w:t>
      </w:r>
      <w:proofErr w:type="spellEnd"/>
      <w:r w:rsidRPr="00400A04">
        <w:rPr>
          <w:rFonts w:ascii="Arial" w:hAnsi="Arial" w:cs="Arial"/>
          <w:sz w:val="16"/>
          <w:szCs w:val="16"/>
        </w:rPr>
        <w:t xml:space="preserve">. </w:t>
      </w:r>
      <w:proofErr w:type="spellStart"/>
      <w:r w:rsidRPr="00400A04">
        <w:rPr>
          <w:rFonts w:ascii="Arial" w:hAnsi="Arial" w:cs="Arial"/>
          <w:sz w:val="16"/>
          <w:szCs w:val="16"/>
        </w:rPr>
        <w:t>věst</w:t>
      </w:r>
      <w:proofErr w:type="spellEnd"/>
      <w:r w:rsidRPr="00400A04">
        <w:rPr>
          <w:rFonts w:ascii="Arial" w:hAnsi="Arial" w:cs="Arial"/>
          <w:sz w:val="16"/>
          <w:szCs w:val="16"/>
        </w:rPr>
        <w:t>. L 321, 17.12.2018, s. 36), je test tří kritérií nedílnou součástí postupu pro analýzu trhu, který spadá do pravomocí Komise podle čl. 32 odst. 4.</w:t>
      </w:r>
    </w:p>
  </w:footnote>
  <w:footnote w:id="10">
    <w:p w14:paraId="3D22CE3A" w14:textId="77777777" w:rsidR="007F17B4" w:rsidRPr="003E2CCD" w:rsidRDefault="007F17B4" w:rsidP="00985A53">
      <w:pPr>
        <w:pStyle w:val="Textpoznpodarou"/>
        <w:contextualSpacing/>
        <w:rPr>
          <w:rFonts w:ascii="Arial" w:hAnsi="Arial" w:cs="Arial"/>
          <w:sz w:val="16"/>
          <w:szCs w:val="16"/>
        </w:rPr>
      </w:pPr>
      <w:r w:rsidRPr="003E2CCD">
        <w:rPr>
          <w:rStyle w:val="Znakapoznpodarou"/>
          <w:rFonts w:ascii="Arial" w:hAnsi="Arial" w:cs="Arial"/>
          <w:sz w:val="16"/>
          <w:szCs w:val="16"/>
        </w:rPr>
        <w:footnoteRef/>
      </w:r>
      <w:r w:rsidRPr="003E2CCD">
        <w:rPr>
          <w:rFonts w:ascii="Arial" w:hAnsi="Arial" w:cs="Arial"/>
          <w:sz w:val="16"/>
          <w:szCs w:val="16"/>
        </w:rPr>
        <w:t xml:space="preserve"> Tj. existenci značných překážek vstupu na trh.</w:t>
      </w:r>
    </w:p>
  </w:footnote>
  <w:footnote w:id="11">
    <w:p w14:paraId="7B4E51FF" w14:textId="77777777" w:rsidR="007F17B4" w:rsidRPr="003E2CCD" w:rsidRDefault="007F17B4" w:rsidP="00985A53">
      <w:pPr>
        <w:pStyle w:val="Textpoznpodarou"/>
        <w:contextualSpacing/>
        <w:rPr>
          <w:rFonts w:ascii="Arial" w:hAnsi="Arial" w:cs="Arial"/>
          <w:sz w:val="16"/>
          <w:szCs w:val="16"/>
        </w:rPr>
      </w:pPr>
      <w:r w:rsidRPr="003E2CCD">
        <w:rPr>
          <w:rStyle w:val="Znakapoznpodarou"/>
          <w:rFonts w:ascii="Arial" w:hAnsi="Arial" w:cs="Arial"/>
          <w:sz w:val="16"/>
          <w:szCs w:val="16"/>
        </w:rPr>
        <w:footnoteRef/>
      </w:r>
      <w:r w:rsidRPr="003E2CCD">
        <w:rPr>
          <w:rFonts w:ascii="Arial" w:hAnsi="Arial" w:cs="Arial"/>
          <w:sz w:val="16"/>
          <w:szCs w:val="16"/>
        </w:rPr>
        <w:t xml:space="preserve"> Tj. trh nesměřuje k účinné hospodářské soutěži.</w:t>
      </w:r>
    </w:p>
  </w:footnote>
  <w:footnote w:id="12">
    <w:p w14:paraId="0AE9F500" w14:textId="77777777" w:rsidR="007F17B4" w:rsidRDefault="007F17B4" w:rsidP="00F9308E">
      <w:pPr>
        <w:pStyle w:val="Textpoznpodarou"/>
      </w:pPr>
      <w:r>
        <w:rPr>
          <w:rStyle w:val="Znakapoznpodarou"/>
        </w:rPr>
        <w:footnoteRef/>
      </w:r>
      <w:r>
        <w:t xml:space="preserve"> </w:t>
      </w:r>
      <w:r w:rsidRPr="00AC7E92">
        <w:rPr>
          <w:rFonts w:ascii="Arial" w:hAnsi="Arial" w:cs="Arial"/>
          <w:sz w:val="16"/>
          <w:szCs w:val="16"/>
        </w:rPr>
        <w:t xml:space="preserve">V Opatření obecné povahy analýzy trhu č. A/8/3.2016-2, dostupné zde: </w:t>
      </w:r>
      <w:hyperlink r:id="rId2" w:history="1">
        <w:r w:rsidRPr="007A3D13">
          <w:rPr>
            <w:rStyle w:val="Hypertextovodkaz"/>
            <w:rFonts w:ascii="Arial" w:hAnsi="Arial" w:cs="Arial"/>
            <w:sz w:val="16"/>
            <w:szCs w:val="16"/>
          </w:rPr>
          <w:t>https://www.ctu.cz/trh-c-8-pristup-puvod-volani-originace-ve-verejnych-mobilnich-telefonnich-sitich-0</w:t>
        </w:r>
      </w:hyperlink>
      <w:r>
        <w:rPr>
          <w:rFonts w:ascii="Arial" w:hAnsi="Arial" w:cs="Arial"/>
          <w:sz w:val="16"/>
          <w:szCs w:val="16"/>
        </w:rPr>
        <w:t xml:space="preserve"> </w:t>
      </w:r>
    </w:p>
  </w:footnote>
  <w:footnote w:id="13">
    <w:p w14:paraId="06AC960E" w14:textId="77777777" w:rsidR="007F17B4" w:rsidRDefault="007F17B4" w:rsidP="00985A53">
      <w:r>
        <w:rPr>
          <w:rStyle w:val="Znakapoznpodarou"/>
        </w:rPr>
        <w:footnoteRef/>
      </w:r>
      <w:r>
        <w:t xml:space="preserve"> </w:t>
      </w:r>
      <w:r w:rsidRPr="003E2CCD">
        <w:rPr>
          <w:rFonts w:ascii="Arial" w:hAnsi="Arial" w:cs="Arial"/>
          <w:sz w:val="16"/>
          <w:szCs w:val="20"/>
          <w:lang w:eastAsia="ar-SA"/>
        </w:rPr>
        <w:t xml:space="preserve">Dostupná zde: </w:t>
      </w:r>
      <w:hyperlink r:id="rId3" w:history="1">
        <w:r w:rsidRPr="003E2CCD">
          <w:rPr>
            <w:rStyle w:val="Hypertextovodkaz"/>
            <w:rFonts w:ascii="Arial" w:hAnsi="Arial" w:cs="Arial"/>
            <w:sz w:val="16"/>
            <w:lang w:eastAsia="ar-SA"/>
          </w:rPr>
          <w:t>https://www.ctu.cz/stanovisko-ceskeho-telekomunikacniho-uradu-ke-sdileni-siti-2g-3g-4g-pro-ucely-komplexniho</w:t>
        </w:r>
      </w:hyperlink>
      <w:r w:rsidRPr="003E2CCD">
        <w:rPr>
          <w:rFonts w:ascii="Arial" w:hAnsi="Arial" w:cs="Arial"/>
          <w:sz w:val="16"/>
          <w:szCs w:val="20"/>
          <w:lang w:eastAsia="ar-SA"/>
        </w:rPr>
        <w:t>.</w:t>
      </w:r>
    </w:p>
  </w:footnote>
  <w:footnote w:id="14">
    <w:p w14:paraId="6B2A6478" w14:textId="77777777" w:rsidR="007F17B4" w:rsidRDefault="007F17B4" w:rsidP="00866A53">
      <w:pPr>
        <w:pStyle w:val="Textpoznpodarou"/>
      </w:pPr>
      <w:r>
        <w:rPr>
          <w:rStyle w:val="Znakapoznpodarou"/>
        </w:rPr>
        <w:footnoteRef/>
      </w:r>
      <w:r>
        <w:t xml:space="preserve"> </w:t>
      </w:r>
      <w:r w:rsidRPr="003E2CCD">
        <w:rPr>
          <w:rFonts w:ascii="Arial" w:hAnsi="Arial" w:cs="Arial"/>
          <w:sz w:val="16"/>
          <w:szCs w:val="16"/>
        </w:rPr>
        <w:t xml:space="preserve">Evropská komise v této věci prozatím zveřejnila své předběžné závěry probíhajícího šetření a zaslala své prohlášení o vznesených námitkách dotčeným subjektům. Viz tisková zpráva </w:t>
      </w:r>
      <w:r>
        <w:rPr>
          <w:rFonts w:ascii="Arial" w:hAnsi="Arial" w:cs="Arial"/>
          <w:sz w:val="16"/>
          <w:szCs w:val="16"/>
        </w:rPr>
        <w:t xml:space="preserve">EK </w:t>
      </w:r>
      <w:r w:rsidRPr="003E2CCD">
        <w:rPr>
          <w:rFonts w:ascii="Arial" w:hAnsi="Arial" w:cs="Arial"/>
          <w:sz w:val="16"/>
          <w:szCs w:val="16"/>
        </w:rPr>
        <w:t xml:space="preserve">ze 7. srpna 2019 dostupná zde: </w:t>
      </w:r>
      <w:hyperlink r:id="rId4" w:history="1">
        <w:r w:rsidRPr="003E2CCD">
          <w:rPr>
            <w:rStyle w:val="Hypertextovodkaz"/>
            <w:rFonts w:ascii="Arial" w:hAnsi="Arial" w:cs="Arial"/>
            <w:sz w:val="16"/>
            <w:szCs w:val="16"/>
          </w:rPr>
          <w:t>https://ec.europa.eu/commission/presscorner/detail/cs/ip_19_5110</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2CDA"/>
    <w:multiLevelType w:val="hybridMultilevel"/>
    <w:tmpl w:val="EB5822A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09F36B91"/>
    <w:multiLevelType w:val="hybridMultilevel"/>
    <w:tmpl w:val="FB0228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5E7561"/>
    <w:multiLevelType w:val="hybridMultilevel"/>
    <w:tmpl w:val="78A4CE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B07F6D"/>
    <w:multiLevelType w:val="hybridMultilevel"/>
    <w:tmpl w:val="4412E62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F83799"/>
    <w:multiLevelType w:val="hybridMultilevel"/>
    <w:tmpl w:val="EE945804"/>
    <w:lvl w:ilvl="0" w:tplc="04050017">
      <w:start w:val="1"/>
      <w:numFmt w:val="lowerLetter"/>
      <w:lvlText w:val="%1)"/>
      <w:lvlJc w:val="left"/>
      <w:pPr>
        <w:ind w:left="1361" w:hanging="360"/>
      </w:pPr>
    </w:lvl>
    <w:lvl w:ilvl="1" w:tplc="04050019" w:tentative="1">
      <w:start w:val="1"/>
      <w:numFmt w:val="lowerLetter"/>
      <w:lvlText w:val="%2."/>
      <w:lvlJc w:val="left"/>
      <w:pPr>
        <w:ind w:left="2081" w:hanging="360"/>
      </w:pPr>
    </w:lvl>
    <w:lvl w:ilvl="2" w:tplc="0405001B" w:tentative="1">
      <w:start w:val="1"/>
      <w:numFmt w:val="lowerRoman"/>
      <w:lvlText w:val="%3."/>
      <w:lvlJc w:val="right"/>
      <w:pPr>
        <w:ind w:left="2801" w:hanging="180"/>
      </w:pPr>
    </w:lvl>
    <w:lvl w:ilvl="3" w:tplc="0405000F" w:tentative="1">
      <w:start w:val="1"/>
      <w:numFmt w:val="decimal"/>
      <w:lvlText w:val="%4."/>
      <w:lvlJc w:val="left"/>
      <w:pPr>
        <w:ind w:left="3521" w:hanging="360"/>
      </w:pPr>
    </w:lvl>
    <w:lvl w:ilvl="4" w:tplc="04050019" w:tentative="1">
      <w:start w:val="1"/>
      <w:numFmt w:val="lowerLetter"/>
      <w:lvlText w:val="%5."/>
      <w:lvlJc w:val="left"/>
      <w:pPr>
        <w:ind w:left="4241" w:hanging="360"/>
      </w:pPr>
    </w:lvl>
    <w:lvl w:ilvl="5" w:tplc="0405001B" w:tentative="1">
      <w:start w:val="1"/>
      <w:numFmt w:val="lowerRoman"/>
      <w:lvlText w:val="%6."/>
      <w:lvlJc w:val="right"/>
      <w:pPr>
        <w:ind w:left="4961" w:hanging="180"/>
      </w:pPr>
    </w:lvl>
    <w:lvl w:ilvl="6" w:tplc="0405000F" w:tentative="1">
      <w:start w:val="1"/>
      <w:numFmt w:val="decimal"/>
      <w:lvlText w:val="%7."/>
      <w:lvlJc w:val="left"/>
      <w:pPr>
        <w:ind w:left="5681" w:hanging="360"/>
      </w:pPr>
    </w:lvl>
    <w:lvl w:ilvl="7" w:tplc="04050019" w:tentative="1">
      <w:start w:val="1"/>
      <w:numFmt w:val="lowerLetter"/>
      <w:lvlText w:val="%8."/>
      <w:lvlJc w:val="left"/>
      <w:pPr>
        <w:ind w:left="6401" w:hanging="360"/>
      </w:pPr>
    </w:lvl>
    <w:lvl w:ilvl="8" w:tplc="0405001B" w:tentative="1">
      <w:start w:val="1"/>
      <w:numFmt w:val="lowerRoman"/>
      <w:lvlText w:val="%9."/>
      <w:lvlJc w:val="right"/>
      <w:pPr>
        <w:ind w:left="7121" w:hanging="180"/>
      </w:pPr>
    </w:lvl>
  </w:abstractNum>
  <w:abstractNum w:abstractNumId="5" w15:restartNumberingAfterBreak="0">
    <w:nsid w:val="1E7B1E18"/>
    <w:multiLevelType w:val="hybridMultilevel"/>
    <w:tmpl w:val="81D077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BD7FD7"/>
    <w:multiLevelType w:val="hybridMultilevel"/>
    <w:tmpl w:val="4FA00E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22526B46"/>
    <w:multiLevelType w:val="hybridMultilevel"/>
    <w:tmpl w:val="91D2A364"/>
    <w:lvl w:ilvl="0" w:tplc="C8E20E1E">
      <w:start w:val="1"/>
      <w:numFmt w:val="lowerLetter"/>
      <w:pStyle w:val="Styl1"/>
      <w:lvlText w:val="%1)"/>
      <w:lvlJc w:val="left"/>
      <w:pPr>
        <w:ind w:left="643" w:hanging="360"/>
      </w:pPr>
      <w:rPr>
        <w:rFonts w:hint="default"/>
        <w:b/>
      </w:rPr>
    </w:lvl>
    <w:lvl w:ilvl="1" w:tplc="04050019">
      <w:start w:val="1"/>
      <w:numFmt w:val="lowerLetter"/>
      <w:lvlText w:val="%2."/>
      <w:lvlJc w:val="left"/>
      <w:pPr>
        <w:ind w:left="1363" w:hanging="360"/>
      </w:pPr>
      <w:rPr>
        <w:rFonts w:cs="Times New Roman"/>
      </w:rPr>
    </w:lvl>
    <w:lvl w:ilvl="2" w:tplc="0405001B" w:tentative="1">
      <w:start w:val="1"/>
      <w:numFmt w:val="lowerRoman"/>
      <w:lvlText w:val="%3."/>
      <w:lvlJc w:val="right"/>
      <w:pPr>
        <w:ind w:left="2083" w:hanging="180"/>
      </w:pPr>
      <w:rPr>
        <w:rFonts w:cs="Times New Roman"/>
      </w:rPr>
    </w:lvl>
    <w:lvl w:ilvl="3" w:tplc="0405000F" w:tentative="1">
      <w:start w:val="1"/>
      <w:numFmt w:val="decimal"/>
      <w:lvlText w:val="%4."/>
      <w:lvlJc w:val="left"/>
      <w:pPr>
        <w:ind w:left="2803" w:hanging="360"/>
      </w:pPr>
      <w:rPr>
        <w:rFonts w:cs="Times New Roman"/>
      </w:rPr>
    </w:lvl>
    <w:lvl w:ilvl="4" w:tplc="04050019" w:tentative="1">
      <w:start w:val="1"/>
      <w:numFmt w:val="lowerLetter"/>
      <w:lvlText w:val="%5."/>
      <w:lvlJc w:val="left"/>
      <w:pPr>
        <w:ind w:left="3523" w:hanging="360"/>
      </w:pPr>
      <w:rPr>
        <w:rFonts w:cs="Times New Roman"/>
      </w:rPr>
    </w:lvl>
    <w:lvl w:ilvl="5" w:tplc="0405001B" w:tentative="1">
      <w:start w:val="1"/>
      <w:numFmt w:val="lowerRoman"/>
      <w:lvlText w:val="%6."/>
      <w:lvlJc w:val="right"/>
      <w:pPr>
        <w:ind w:left="4243" w:hanging="180"/>
      </w:pPr>
      <w:rPr>
        <w:rFonts w:cs="Times New Roman"/>
      </w:rPr>
    </w:lvl>
    <w:lvl w:ilvl="6" w:tplc="0405000F" w:tentative="1">
      <w:start w:val="1"/>
      <w:numFmt w:val="decimal"/>
      <w:lvlText w:val="%7."/>
      <w:lvlJc w:val="left"/>
      <w:pPr>
        <w:ind w:left="4963" w:hanging="360"/>
      </w:pPr>
      <w:rPr>
        <w:rFonts w:cs="Times New Roman"/>
      </w:rPr>
    </w:lvl>
    <w:lvl w:ilvl="7" w:tplc="04050019" w:tentative="1">
      <w:start w:val="1"/>
      <w:numFmt w:val="lowerLetter"/>
      <w:lvlText w:val="%8."/>
      <w:lvlJc w:val="left"/>
      <w:pPr>
        <w:ind w:left="5683" w:hanging="360"/>
      </w:pPr>
      <w:rPr>
        <w:rFonts w:cs="Times New Roman"/>
      </w:rPr>
    </w:lvl>
    <w:lvl w:ilvl="8" w:tplc="0405001B" w:tentative="1">
      <w:start w:val="1"/>
      <w:numFmt w:val="lowerRoman"/>
      <w:lvlText w:val="%9."/>
      <w:lvlJc w:val="right"/>
      <w:pPr>
        <w:ind w:left="6403" w:hanging="180"/>
      </w:pPr>
      <w:rPr>
        <w:rFonts w:cs="Times New Roman"/>
      </w:rPr>
    </w:lvl>
  </w:abstractNum>
  <w:abstractNum w:abstractNumId="8" w15:restartNumberingAfterBreak="0">
    <w:nsid w:val="26287619"/>
    <w:multiLevelType w:val="hybridMultilevel"/>
    <w:tmpl w:val="D56C0C6E"/>
    <w:lvl w:ilvl="0" w:tplc="237EDFD2">
      <w:start w:val="3"/>
      <w:numFmt w:val="bullet"/>
      <w:lvlText w:val="-"/>
      <w:lvlJc w:val="left"/>
      <w:pPr>
        <w:ind w:left="1429" w:hanging="360"/>
      </w:pPr>
      <w:rPr>
        <w:rFonts w:ascii="Arial" w:eastAsiaTheme="minorHAnsi" w:hAnsi="Arial" w:cs="Aria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306E344A"/>
    <w:multiLevelType w:val="hybridMultilevel"/>
    <w:tmpl w:val="7E420F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1FB38EE"/>
    <w:multiLevelType w:val="hybridMultilevel"/>
    <w:tmpl w:val="1FF0AC6E"/>
    <w:lvl w:ilvl="0" w:tplc="9BD6F21E">
      <w:start w:val="1"/>
      <w:numFmt w:val="lowerLetter"/>
      <w:lvlText w:val="%1)"/>
      <w:lvlJc w:val="left"/>
      <w:pPr>
        <w:ind w:left="1413" w:hanging="70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15:restartNumberingAfterBreak="0">
    <w:nsid w:val="366D2A8F"/>
    <w:multiLevelType w:val="hybridMultilevel"/>
    <w:tmpl w:val="84BCB340"/>
    <w:lvl w:ilvl="0" w:tplc="5DC23142">
      <w:start w:val="1"/>
      <w:numFmt w:val="bullet"/>
      <w:pStyle w:val="Vvojcen-odrky"/>
      <w:lvlText w:val="-"/>
      <w:lvlJc w:val="left"/>
      <w:pPr>
        <w:tabs>
          <w:tab w:val="num" w:pos="720"/>
        </w:tabs>
        <w:ind w:left="720" w:hanging="360"/>
      </w:pPr>
      <w:rPr>
        <w:rFonts w:ascii="Arial" w:eastAsia="Times New Roman" w:hAnsi="Arial" w:cs="Aria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044309"/>
    <w:multiLevelType w:val="hybridMultilevel"/>
    <w:tmpl w:val="C36EDC58"/>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3" w15:restartNumberingAfterBreak="0">
    <w:nsid w:val="3C6654AD"/>
    <w:multiLevelType w:val="hybridMultilevel"/>
    <w:tmpl w:val="8CCAC5A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3D35645F"/>
    <w:multiLevelType w:val="multilevel"/>
    <w:tmpl w:val="5BA0692C"/>
    <w:lvl w:ilvl="0">
      <w:start w:val="1"/>
      <w:numFmt w:val="decimal"/>
      <w:pStyle w:val="Nadpis1"/>
      <w:lvlText w:val="%1."/>
      <w:lvlJc w:val="left"/>
      <w:pPr>
        <w:ind w:left="360" w:hanging="360"/>
      </w:pPr>
    </w:lvl>
    <w:lvl w:ilvl="1">
      <w:start w:val="1"/>
      <w:numFmt w:val="decimal"/>
      <w:pStyle w:val="Nadpis2"/>
      <w:lvlText w:val="%1.%2."/>
      <w:lvlJc w:val="left"/>
      <w:pPr>
        <w:ind w:left="792" w:hanging="432"/>
      </w:pPr>
    </w:lvl>
    <w:lvl w:ilvl="2">
      <w:start w:val="1"/>
      <w:numFmt w:val="decimal"/>
      <w:pStyle w:val="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3615DB"/>
    <w:multiLevelType w:val="hybridMultilevel"/>
    <w:tmpl w:val="70D04EC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36128D2"/>
    <w:multiLevelType w:val="hybridMultilevel"/>
    <w:tmpl w:val="884C2B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4537962"/>
    <w:multiLevelType w:val="hybridMultilevel"/>
    <w:tmpl w:val="EE50159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7070AD9"/>
    <w:multiLevelType w:val="hybridMultilevel"/>
    <w:tmpl w:val="8FC0610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C1F14AD"/>
    <w:multiLevelType w:val="hybridMultilevel"/>
    <w:tmpl w:val="E6DE7450"/>
    <w:lvl w:ilvl="0" w:tplc="353A3EF0">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2CE76BC"/>
    <w:multiLevelType w:val="hybridMultilevel"/>
    <w:tmpl w:val="A66E434C"/>
    <w:lvl w:ilvl="0" w:tplc="4674619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3CE478F"/>
    <w:multiLevelType w:val="hybridMultilevel"/>
    <w:tmpl w:val="9AC8986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571B6D15"/>
    <w:multiLevelType w:val="hybridMultilevel"/>
    <w:tmpl w:val="D1543672"/>
    <w:lvl w:ilvl="0" w:tplc="125CA072">
      <w:start w:val="1"/>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96657E7"/>
    <w:multiLevelType w:val="hybridMultilevel"/>
    <w:tmpl w:val="1458CCD0"/>
    <w:lvl w:ilvl="0" w:tplc="237EDFD2">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9AE2A27"/>
    <w:multiLevelType w:val="hybridMultilevel"/>
    <w:tmpl w:val="83EE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8733F6"/>
    <w:multiLevelType w:val="hybridMultilevel"/>
    <w:tmpl w:val="39E6993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AFF2873"/>
    <w:multiLevelType w:val="hybridMultilevel"/>
    <w:tmpl w:val="3B825FE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EF70066"/>
    <w:multiLevelType w:val="hybridMultilevel"/>
    <w:tmpl w:val="E06AE61A"/>
    <w:lvl w:ilvl="0" w:tplc="652CCA56">
      <w:numFmt w:val="bullet"/>
      <w:lvlText w:val="-"/>
      <w:lvlJc w:val="left"/>
      <w:pPr>
        <w:ind w:left="1068" w:hanging="360"/>
      </w:pPr>
      <w:rPr>
        <w:rFonts w:ascii="Arial" w:eastAsia="Times New Roman"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8" w15:restartNumberingAfterBreak="0">
    <w:nsid w:val="5F186DCE"/>
    <w:multiLevelType w:val="hybridMultilevel"/>
    <w:tmpl w:val="7F3EF45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F354F04"/>
    <w:multiLevelType w:val="hybridMultilevel"/>
    <w:tmpl w:val="07767F7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3E75FAF"/>
    <w:multiLevelType w:val="hybridMultilevel"/>
    <w:tmpl w:val="FCE20684"/>
    <w:lvl w:ilvl="0" w:tplc="00000018">
      <w:start w:val="1"/>
      <w:numFmt w:val="bullet"/>
      <w:lvlText w:val=""/>
      <w:lvlJc w:val="left"/>
      <w:pPr>
        <w:ind w:left="862" w:hanging="360"/>
      </w:pPr>
      <w:rPr>
        <w:rFonts w:ascii="Symbol" w:hAnsi="Symbol"/>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31" w15:restartNumberingAfterBreak="0">
    <w:nsid w:val="66353B5D"/>
    <w:multiLevelType w:val="hybridMultilevel"/>
    <w:tmpl w:val="998CF8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6732186"/>
    <w:multiLevelType w:val="hybridMultilevel"/>
    <w:tmpl w:val="FF76DB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7514308"/>
    <w:multiLevelType w:val="hybridMultilevel"/>
    <w:tmpl w:val="624452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EA725A2"/>
    <w:multiLevelType w:val="hybridMultilevel"/>
    <w:tmpl w:val="E78EB418"/>
    <w:lvl w:ilvl="0" w:tplc="04050001">
      <w:start w:val="1"/>
      <w:numFmt w:val="bullet"/>
      <w:lvlText w:val=""/>
      <w:lvlJc w:val="left"/>
      <w:pPr>
        <w:ind w:left="2145" w:hanging="360"/>
      </w:pPr>
      <w:rPr>
        <w:rFonts w:ascii="Symbol" w:hAnsi="Symbol" w:hint="default"/>
      </w:rPr>
    </w:lvl>
    <w:lvl w:ilvl="1" w:tplc="04050003" w:tentative="1">
      <w:start w:val="1"/>
      <w:numFmt w:val="bullet"/>
      <w:lvlText w:val="o"/>
      <w:lvlJc w:val="left"/>
      <w:pPr>
        <w:ind w:left="2865" w:hanging="360"/>
      </w:pPr>
      <w:rPr>
        <w:rFonts w:ascii="Courier New" w:hAnsi="Courier New" w:cs="Courier New" w:hint="default"/>
      </w:rPr>
    </w:lvl>
    <w:lvl w:ilvl="2" w:tplc="04050005" w:tentative="1">
      <w:start w:val="1"/>
      <w:numFmt w:val="bullet"/>
      <w:lvlText w:val=""/>
      <w:lvlJc w:val="left"/>
      <w:pPr>
        <w:ind w:left="3585" w:hanging="360"/>
      </w:pPr>
      <w:rPr>
        <w:rFonts w:ascii="Wingdings" w:hAnsi="Wingdings" w:hint="default"/>
      </w:rPr>
    </w:lvl>
    <w:lvl w:ilvl="3" w:tplc="04050001" w:tentative="1">
      <w:start w:val="1"/>
      <w:numFmt w:val="bullet"/>
      <w:lvlText w:val=""/>
      <w:lvlJc w:val="left"/>
      <w:pPr>
        <w:ind w:left="4305" w:hanging="360"/>
      </w:pPr>
      <w:rPr>
        <w:rFonts w:ascii="Symbol" w:hAnsi="Symbol" w:hint="default"/>
      </w:rPr>
    </w:lvl>
    <w:lvl w:ilvl="4" w:tplc="04050003" w:tentative="1">
      <w:start w:val="1"/>
      <w:numFmt w:val="bullet"/>
      <w:lvlText w:val="o"/>
      <w:lvlJc w:val="left"/>
      <w:pPr>
        <w:ind w:left="5025" w:hanging="360"/>
      </w:pPr>
      <w:rPr>
        <w:rFonts w:ascii="Courier New" w:hAnsi="Courier New" w:cs="Courier New" w:hint="default"/>
      </w:rPr>
    </w:lvl>
    <w:lvl w:ilvl="5" w:tplc="04050005" w:tentative="1">
      <w:start w:val="1"/>
      <w:numFmt w:val="bullet"/>
      <w:lvlText w:val=""/>
      <w:lvlJc w:val="left"/>
      <w:pPr>
        <w:ind w:left="5745" w:hanging="360"/>
      </w:pPr>
      <w:rPr>
        <w:rFonts w:ascii="Wingdings" w:hAnsi="Wingdings" w:hint="default"/>
      </w:rPr>
    </w:lvl>
    <w:lvl w:ilvl="6" w:tplc="04050001" w:tentative="1">
      <w:start w:val="1"/>
      <w:numFmt w:val="bullet"/>
      <w:lvlText w:val=""/>
      <w:lvlJc w:val="left"/>
      <w:pPr>
        <w:ind w:left="6465" w:hanging="360"/>
      </w:pPr>
      <w:rPr>
        <w:rFonts w:ascii="Symbol" w:hAnsi="Symbol" w:hint="default"/>
      </w:rPr>
    </w:lvl>
    <w:lvl w:ilvl="7" w:tplc="04050003" w:tentative="1">
      <w:start w:val="1"/>
      <w:numFmt w:val="bullet"/>
      <w:lvlText w:val="o"/>
      <w:lvlJc w:val="left"/>
      <w:pPr>
        <w:ind w:left="7185" w:hanging="360"/>
      </w:pPr>
      <w:rPr>
        <w:rFonts w:ascii="Courier New" w:hAnsi="Courier New" w:cs="Courier New" w:hint="default"/>
      </w:rPr>
    </w:lvl>
    <w:lvl w:ilvl="8" w:tplc="04050005" w:tentative="1">
      <w:start w:val="1"/>
      <w:numFmt w:val="bullet"/>
      <w:lvlText w:val=""/>
      <w:lvlJc w:val="left"/>
      <w:pPr>
        <w:ind w:left="7905" w:hanging="360"/>
      </w:pPr>
      <w:rPr>
        <w:rFonts w:ascii="Wingdings" w:hAnsi="Wingdings" w:hint="default"/>
      </w:rPr>
    </w:lvl>
  </w:abstractNum>
  <w:abstractNum w:abstractNumId="35" w15:restartNumberingAfterBreak="0">
    <w:nsid w:val="7EEB44D2"/>
    <w:multiLevelType w:val="hybridMultilevel"/>
    <w:tmpl w:val="F37444D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11"/>
  </w:num>
  <w:num w:numId="2">
    <w:abstractNumId w:val="21"/>
  </w:num>
  <w:num w:numId="3">
    <w:abstractNumId w:val="26"/>
  </w:num>
  <w:num w:numId="4">
    <w:abstractNumId w:val="4"/>
  </w:num>
  <w:num w:numId="5">
    <w:abstractNumId w:val="0"/>
  </w:num>
  <w:num w:numId="6">
    <w:abstractNumId w:val="15"/>
  </w:num>
  <w:num w:numId="7">
    <w:abstractNumId w:val="14"/>
  </w:num>
  <w:num w:numId="8">
    <w:abstractNumId w:val="5"/>
  </w:num>
  <w:num w:numId="9">
    <w:abstractNumId w:val="7"/>
  </w:num>
  <w:num w:numId="10">
    <w:abstractNumId w:val="6"/>
  </w:num>
  <w:num w:numId="11">
    <w:abstractNumId w:val="24"/>
  </w:num>
  <w:num w:numId="12">
    <w:abstractNumId w:val="9"/>
  </w:num>
  <w:num w:numId="13">
    <w:abstractNumId w:val="23"/>
  </w:num>
  <w:num w:numId="14">
    <w:abstractNumId w:val="13"/>
  </w:num>
  <w:num w:numId="15">
    <w:abstractNumId w:val="8"/>
  </w:num>
  <w:num w:numId="16">
    <w:abstractNumId w:val="30"/>
  </w:num>
  <w:num w:numId="17">
    <w:abstractNumId w:val="34"/>
  </w:num>
  <w:num w:numId="18">
    <w:abstractNumId w:val="35"/>
  </w:num>
  <w:num w:numId="19">
    <w:abstractNumId w:val="33"/>
  </w:num>
  <w:num w:numId="20">
    <w:abstractNumId w:val="3"/>
  </w:num>
  <w:num w:numId="21">
    <w:abstractNumId w:val="29"/>
  </w:num>
  <w:num w:numId="22">
    <w:abstractNumId w:val="31"/>
  </w:num>
  <w:num w:numId="23">
    <w:abstractNumId w:val="18"/>
  </w:num>
  <w:num w:numId="24">
    <w:abstractNumId w:val="16"/>
  </w:num>
  <w:num w:numId="25">
    <w:abstractNumId w:val="1"/>
  </w:num>
  <w:num w:numId="26">
    <w:abstractNumId w:val="19"/>
  </w:num>
  <w:num w:numId="27">
    <w:abstractNumId w:val="20"/>
  </w:num>
  <w:num w:numId="28">
    <w:abstractNumId w:val="28"/>
  </w:num>
  <w:num w:numId="29">
    <w:abstractNumId w:val="7"/>
    <w:lvlOverride w:ilvl="0">
      <w:startOverride w:val="1"/>
    </w:lvlOverride>
  </w:num>
  <w:num w:numId="30">
    <w:abstractNumId w:val="7"/>
    <w:lvlOverride w:ilvl="0">
      <w:startOverride w:val="1"/>
    </w:lvlOverride>
  </w:num>
  <w:num w:numId="31">
    <w:abstractNumId w:val="32"/>
  </w:num>
  <w:num w:numId="32">
    <w:abstractNumId w:val="17"/>
  </w:num>
  <w:num w:numId="33">
    <w:abstractNumId w:val="2"/>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27"/>
  </w:num>
  <w:num w:numId="42">
    <w:abstractNumId w:val="25"/>
  </w:num>
  <w:num w:numId="43">
    <w:abstractNumId w:val="22"/>
  </w:num>
  <w:num w:numId="44">
    <w:abstractNumId w:val="12"/>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54A"/>
    <w:rsid w:val="000059BC"/>
    <w:rsid w:val="00014703"/>
    <w:rsid w:val="0001634D"/>
    <w:rsid w:val="00016ACF"/>
    <w:rsid w:val="00020510"/>
    <w:rsid w:val="00031952"/>
    <w:rsid w:val="00032834"/>
    <w:rsid w:val="00041B5A"/>
    <w:rsid w:val="0004389F"/>
    <w:rsid w:val="000453A0"/>
    <w:rsid w:val="0004773D"/>
    <w:rsid w:val="00054E88"/>
    <w:rsid w:val="00060EBB"/>
    <w:rsid w:val="00061981"/>
    <w:rsid w:val="00067493"/>
    <w:rsid w:val="00067EA8"/>
    <w:rsid w:val="00067EC3"/>
    <w:rsid w:val="0007098B"/>
    <w:rsid w:val="00070F17"/>
    <w:rsid w:val="0007355F"/>
    <w:rsid w:val="00080294"/>
    <w:rsid w:val="0008098E"/>
    <w:rsid w:val="00094159"/>
    <w:rsid w:val="00097B4A"/>
    <w:rsid w:val="000A1E02"/>
    <w:rsid w:val="000B386D"/>
    <w:rsid w:val="000C37DE"/>
    <w:rsid w:val="000D59F3"/>
    <w:rsid w:val="000D63C6"/>
    <w:rsid w:val="000E1E8C"/>
    <w:rsid w:val="000F2A70"/>
    <w:rsid w:val="000F7A61"/>
    <w:rsid w:val="0011000D"/>
    <w:rsid w:val="0011014F"/>
    <w:rsid w:val="00123030"/>
    <w:rsid w:val="00123EE6"/>
    <w:rsid w:val="001271F3"/>
    <w:rsid w:val="00130CD5"/>
    <w:rsid w:val="00141A4F"/>
    <w:rsid w:val="0014354A"/>
    <w:rsid w:val="00145AE5"/>
    <w:rsid w:val="00155656"/>
    <w:rsid w:val="00155E40"/>
    <w:rsid w:val="0016057A"/>
    <w:rsid w:val="001626DA"/>
    <w:rsid w:val="001641D0"/>
    <w:rsid w:val="00167C25"/>
    <w:rsid w:val="001707BB"/>
    <w:rsid w:val="00172A7B"/>
    <w:rsid w:val="0017698E"/>
    <w:rsid w:val="00195A51"/>
    <w:rsid w:val="001B2A9E"/>
    <w:rsid w:val="001B3849"/>
    <w:rsid w:val="001B3A81"/>
    <w:rsid w:val="001B405F"/>
    <w:rsid w:val="001B5B6F"/>
    <w:rsid w:val="001C46CF"/>
    <w:rsid w:val="001C4D03"/>
    <w:rsid w:val="001C5CCB"/>
    <w:rsid w:val="001E4942"/>
    <w:rsid w:val="001E5E47"/>
    <w:rsid w:val="001F3858"/>
    <w:rsid w:val="001F4BEC"/>
    <w:rsid w:val="002042D5"/>
    <w:rsid w:val="002136B4"/>
    <w:rsid w:val="0022054E"/>
    <w:rsid w:val="00224BFD"/>
    <w:rsid w:val="00235A41"/>
    <w:rsid w:val="002426F9"/>
    <w:rsid w:val="002462C4"/>
    <w:rsid w:val="00247DCD"/>
    <w:rsid w:val="002508AA"/>
    <w:rsid w:val="00250A7F"/>
    <w:rsid w:val="002537AA"/>
    <w:rsid w:val="00257643"/>
    <w:rsid w:val="00260333"/>
    <w:rsid w:val="00260987"/>
    <w:rsid w:val="00261256"/>
    <w:rsid w:val="002647F3"/>
    <w:rsid w:val="00271C5A"/>
    <w:rsid w:val="00272284"/>
    <w:rsid w:val="00276ACC"/>
    <w:rsid w:val="00277290"/>
    <w:rsid w:val="002805D5"/>
    <w:rsid w:val="00287307"/>
    <w:rsid w:val="0029591D"/>
    <w:rsid w:val="002A42D9"/>
    <w:rsid w:val="002A72E7"/>
    <w:rsid w:val="002C1BD1"/>
    <w:rsid w:val="002C218E"/>
    <w:rsid w:val="002D1000"/>
    <w:rsid w:val="002D559D"/>
    <w:rsid w:val="002E1C73"/>
    <w:rsid w:val="002E3AD7"/>
    <w:rsid w:val="002E7149"/>
    <w:rsid w:val="002F32A9"/>
    <w:rsid w:val="002F42A6"/>
    <w:rsid w:val="002F67E7"/>
    <w:rsid w:val="002F727D"/>
    <w:rsid w:val="002F7847"/>
    <w:rsid w:val="003012C4"/>
    <w:rsid w:val="0030519C"/>
    <w:rsid w:val="00306087"/>
    <w:rsid w:val="00307B98"/>
    <w:rsid w:val="0031210F"/>
    <w:rsid w:val="00312416"/>
    <w:rsid w:val="00312BB5"/>
    <w:rsid w:val="00316B07"/>
    <w:rsid w:val="00320320"/>
    <w:rsid w:val="00322BB8"/>
    <w:rsid w:val="00322CDD"/>
    <w:rsid w:val="00323F69"/>
    <w:rsid w:val="0033033A"/>
    <w:rsid w:val="00343F76"/>
    <w:rsid w:val="00377A7E"/>
    <w:rsid w:val="003838FA"/>
    <w:rsid w:val="00383B84"/>
    <w:rsid w:val="003B29DE"/>
    <w:rsid w:val="003B2A10"/>
    <w:rsid w:val="003B699B"/>
    <w:rsid w:val="003B69F2"/>
    <w:rsid w:val="003B7486"/>
    <w:rsid w:val="003C33D5"/>
    <w:rsid w:val="003C7BD2"/>
    <w:rsid w:val="003D2673"/>
    <w:rsid w:val="003E1B24"/>
    <w:rsid w:val="003E2CCD"/>
    <w:rsid w:val="003F0551"/>
    <w:rsid w:val="003F463E"/>
    <w:rsid w:val="003F4945"/>
    <w:rsid w:val="003F64DD"/>
    <w:rsid w:val="00400A04"/>
    <w:rsid w:val="00400F22"/>
    <w:rsid w:val="00401A7A"/>
    <w:rsid w:val="004040FF"/>
    <w:rsid w:val="00407EAD"/>
    <w:rsid w:val="00411089"/>
    <w:rsid w:val="00411AE4"/>
    <w:rsid w:val="00421082"/>
    <w:rsid w:val="004233EA"/>
    <w:rsid w:val="00423ADB"/>
    <w:rsid w:val="004259ED"/>
    <w:rsid w:val="0043284C"/>
    <w:rsid w:val="004329EE"/>
    <w:rsid w:val="00451AC3"/>
    <w:rsid w:val="00452BD9"/>
    <w:rsid w:val="00457C95"/>
    <w:rsid w:val="00465FD2"/>
    <w:rsid w:val="004674B3"/>
    <w:rsid w:val="004715AD"/>
    <w:rsid w:val="00477AA6"/>
    <w:rsid w:val="0048446C"/>
    <w:rsid w:val="004A210C"/>
    <w:rsid w:val="004A2FE1"/>
    <w:rsid w:val="004A72AE"/>
    <w:rsid w:val="004B3531"/>
    <w:rsid w:val="004B525D"/>
    <w:rsid w:val="004B62CC"/>
    <w:rsid w:val="004C14D9"/>
    <w:rsid w:val="004C4EAC"/>
    <w:rsid w:val="004C5690"/>
    <w:rsid w:val="004C611A"/>
    <w:rsid w:val="004C731F"/>
    <w:rsid w:val="004E0E77"/>
    <w:rsid w:val="004E5E4F"/>
    <w:rsid w:val="004E6F81"/>
    <w:rsid w:val="004E71AD"/>
    <w:rsid w:val="00516561"/>
    <w:rsid w:val="0052117A"/>
    <w:rsid w:val="00523853"/>
    <w:rsid w:val="00525BD9"/>
    <w:rsid w:val="00525CC5"/>
    <w:rsid w:val="00530D8E"/>
    <w:rsid w:val="005442E2"/>
    <w:rsid w:val="005459E0"/>
    <w:rsid w:val="00553A91"/>
    <w:rsid w:val="00553C4A"/>
    <w:rsid w:val="00556DDF"/>
    <w:rsid w:val="00560107"/>
    <w:rsid w:val="00562539"/>
    <w:rsid w:val="005628D0"/>
    <w:rsid w:val="005630D4"/>
    <w:rsid w:val="00563ECF"/>
    <w:rsid w:val="00563EE6"/>
    <w:rsid w:val="00566503"/>
    <w:rsid w:val="00567B59"/>
    <w:rsid w:val="00570606"/>
    <w:rsid w:val="00571DEC"/>
    <w:rsid w:val="005734D8"/>
    <w:rsid w:val="0057377B"/>
    <w:rsid w:val="00577CF9"/>
    <w:rsid w:val="00587554"/>
    <w:rsid w:val="00594493"/>
    <w:rsid w:val="005A070B"/>
    <w:rsid w:val="005A2810"/>
    <w:rsid w:val="005A6EC4"/>
    <w:rsid w:val="005B31C4"/>
    <w:rsid w:val="005B6FC2"/>
    <w:rsid w:val="005C3AB9"/>
    <w:rsid w:val="005C456E"/>
    <w:rsid w:val="005D1AB6"/>
    <w:rsid w:val="005D424F"/>
    <w:rsid w:val="005D47F2"/>
    <w:rsid w:val="005D4CBE"/>
    <w:rsid w:val="005E423B"/>
    <w:rsid w:val="005F387E"/>
    <w:rsid w:val="005F69EB"/>
    <w:rsid w:val="005F7D12"/>
    <w:rsid w:val="00603630"/>
    <w:rsid w:val="006064B1"/>
    <w:rsid w:val="00614708"/>
    <w:rsid w:val="00615C00"/>
    <w:rsid w:val="00624526"/>
    <w:rsid w:val="006249D3"/>
    <w:rsid w:val="00631D68"/>
    <w:rsid w:val="0063590E"/>
    <w:rsid w:val="00637131"/>
    <w:rsid w:val="00637D28"/>
    <w:rsid w:val="006417D3"/>
    <w:rsid w:val="00647125"/>
    <w:rsid w:val="0064763B"/>
    <w:rsid w:val="0065470F"/>
    <w:rsid w:val="006577A3"/>
    <w:rsid w:val="006627D0"/>
    <w:rsid w:val="006673DC"/>
    <w:rsid w:val="006675F4"/>
    <w:rsid w:val="0067106E"/>
    <w:rsid w:val="00673937"/>
    <w:rsid w:val="00675404"/>
    <w:rsid w:val="00684FA7"/>
    <w:rsid w:val="00694828"/>
    <w:rsid w:val="006978C8"/>
    <w:rsid w:val="006A724B"/>
    <w:rsid w:val="006C1F09"/>
    <w:rsid w:val="006C3F00"/>
    <w:rsid w:val="006D0B8E"/>
    <w:rsid w:val="006D1E01"/>
    <w:rsid w:val="006D5CD6"/>
    <w:rsid w:val="006E2AC1"/>
    <w:rsid w:val="006E6FED"/>
    <w:rsid w:val="006E76AD"/>
    <w:rsid w:val="006F0BB8"/>
    <w:rsid w:val="007052E8"/>
    <w:rsid w:val="007063D7"/>
    <w:rsid w:val="00706C59"/>
    <w:rsid w:val="00710927"/>
    <w:rsid w:val="007209D4"/>
    <w:rsid w:val="00724DA7"/>
    <w:rsid w:val="00733130"/>
    <w:rsid w:val="00735869"/>
    <w:rsid w:val="0075223F"/>
    <w:rsid w:val="0075326D"/>
    <w:rsid w:val="00753281"/>
    <w:rsid w:val="00753321"/>
    <w:rsid w:val="00756CB4"/>
    <w:rsid w:val="007577C0"/>
    <w:rsid w:val="0076380A"/>
    <w:rsid w:val="0076520D"/>
    <w:rsid w:val="00772E51"/>
    <w:rsid w:val="00773C05"/>
    <w:rsid w:val="00783614"/>
    <w:rsid w:val="007840F9"/>
    <w:rsid w:val="00785374"/>
    <w:rsid w:val="007873E8"/>
    <w:rsid w:val="0079691B"/>
    <w:rsid w:val="007A7E06"/>
    <w:rsid w:val="007B0EE8"/>
    <w:rsid w:val="007B0F37"/>
    <w:rsid w:val="007B7036"/>
    <w:rsid w:val="007C2072"/>
    <w:rsid w:val="007C3D6E"/>
    <w:rsid w:val="007C4744"/>
    <w:rsid w:val="007D11E3"/>
    <w:rsid w:val="007E5818"/>
    <w:rsid w:val="007E5C15"/>
    <w:rsid w:val="007F17B4"/>
    <w:rsid w:val="007F1F21"/>
    <w:rsid w:val="0080065E"/>
    <w:rsid w:val="00814512"/>
    <w:rsid w:val="00824126"/>
    <w:rsid w:val="00825357"/>
    <w:rsid w:val="008254EE"/>
    <w:rsid w:val="00825A7D"/>
    <w:rsid w:val="00827147"/>
    <w:rsid w:val="008275AF"/>
    <w:rsid w:val="00830D64"/>
    <w:rsid w:val="008344FB"/>
    <w:rsid w:val="00835549"/>
    <w:rsid w:val="00843976"/>
    <w:rsid w:val="0084588A"/>
    <w:rsid w:val="00846D02"/>
    <w:rsid w:val="0084775C"/>
    <w:rsid w:val="00854E1B"/>
    <w:rsid w:val="008574B8"/>
    <w:rsid w:val="008602D4"/>
    <w:rsid w:val="00866070"/>
    <w:rsid w:val="00866A53"/>
    <w:rsid w:val="00866E14"/>
    <w:rsid w:val="00870778"/>
    <w:rsid w:val="00880AAC"/>
    <w:rsid w:val="00894BAC"/>
    <w:rsid w:val="008B0882"/>
    <w:rsid w:val="008C095A"/>
    <w:rsid w:val="008C5F25"/>
    <w:rsid w:val="008D2710"/>
    <w:rsid w:val="008D758C"/>
    <w:rsid w:val="008E2895"/>
    <w:rsid w:val="008E7032"/>
    <w:rsid w:val="008E704E"/>
    <w:rsid w:val="008F0AC8"/>
    <w:rsid w:val="008F2C68"/>
    <w:rsid w:val="00901A13"/>
    <w:rsid w:val="00902B78"/>
    <w:rsid w:val="00904F6F"/>
    <w:rsid w:val="0090638A"/>
    <w:rsid w:val="00906B08"/>
    <w:rsid w:val="00907EE3"/>
    <w:rsid w:val="0091031B"/>
    <w:rsid w:val="00911131"/>
    <w:rsid w:val="00912EC5"/>
    <w:rsid w:val="00913A7C"/>
    <w:rsid w:val="00915729"/>
    <w:rsid w:val="0092192A"/>
    <w:rsid w:val="0092602A"/>
    <w:rsid w:val="009270FB"/>
    <w:rsid w:val="0093004D"/>
    <w:rsid w:val="0093032F"/>
    <w:rsid w:val="00930BC8"/>
    <w:rsid w:val="00935693"/>
    <w:rsid w:val="009458F1"/>
    <w:rsid w:val="00946382"/>
    <w:rsid w:val="00953F3D"/>
    <w:rsid w:val="00960D98"/>
    <w:rsid w:val="009653F0"/>
    <w:rsid w:val="00973C90"/>
    <w:rsid w:val="00985A53"/>
    <w:rsid w:val="00987792"/>
    <w:rsid w:val="00993586"/>
    <w:rsid w:val="009951A7"/>
    <w:rsid w:val="009975B2"/>
    <w:rsid w:val="009A476F"/>
    <w:rsid w:val="009A7F5C"/>
    <w:rsid w:val="009B0E5D"/>
    <w:rsid w:val="009B5210"/>
    <w:rsid w:val="009C4FDC"/>
    <w:rsid w:val="009D0BAD"/>
    <w:rsid w:val="009D1545"/>
    <w:rsid w:val="009D1CA9"/>
    <w:rsid w:val="009D672C"/>
    <w:rsid w:val="009D70F7"/>
    <w:rsid w:val="009E05D3"/>
    <w:rsid w:val="009E078A"/>
    <w:rsid w:val="009E2EEA"/>
    <w:rsid w:val="009F16F8"/>
    <w:rsid w:val="009F2C27"/>
    <w:rsid w:val="00A0202E"/>
    <w:rsid w:val="00A12184"/>
    <w:rsid w:val="00A14BE8"/>
    <w:rsid w:val="00A15267"/>
    <w:rsid w:val="00A162AC"/>
    <w:rsid w:val="00A16F10"/>
    <w:rsid w:val="00A254D0"/>
    <w:rsid w:val="00A32323"/>
    <w:rsid w:val="00A35BFB"/>
    <w:rsid w:val="00A40B3B"/>
    <w:rsid w:val="00A427DB"/>
    <w:rsid w:val="00A42F67"/>
    <w:rsid w:val="00A45F0D"/>
    <w:rsid w:val="00A50BFD"/>
    <w:rsid w:val="00A531E8"/>
    <w:rsid w:val="00A54291"/>
    <w:rsid w:val="00A633B4"/>
    <w:rsid w:val="00A6438A"/>
    <w:rsid w:val="00A72347"/>
    <w:rsid w:val="00A87CB3"/>
    <w:rsid w:val="00A966DC"/>
    <w:rsid w:val="00AA14D9"/>
    <w:rsid w:val="00AA2221"/>
    <w:rsid w:val="00AA65EA"/>
    <w:rsid w:val="00AA6A24"/>
    <w:rsid w:val="00AB3F7D"/>
    <w:rsid w:val="00AB5F81"/>
    <w:rsid w:val="00AB7A9D"/>
    <w:rsid w:val="00AC28D4"/>
    <w:rsid w:val="00AC7E92"/>
    <w:rsid w:val="00AD1367"/>
    <w:rsid w:val="00AD464D"/>
    <w:rsid w:val="00AE66A7"/>
    <w:rsid w:val="00AF1452"/>
    <w:rsid w:val="00AF4FFE"/>
    <w:rsid w:val="00AF5AAE"/>
    <w:rsid w:val="00B01060"/>
    <w:rsid w:val="00B026C2"/>
    <w:rsid w:val="00B06C15"/>
    <w:rsid w:val="00B13894"/>
    <w:rsid w:val="00B20401"/>
    <w:rsid w:val="00B22F67"/>
    <w:rsid w:val="00B235C7"/>
    <w:rsid w:val="00B368EC"/>
    <w:rsid w:val="00B40E1F"/>
    <w:rsid w:val="00B420E2"/>
    <w:rsid w:val="00B45DEB"/>
    <w:rsid w:val="00B47DD0"/>
    <w:rsid w:val="00B5332B"/>
    <w:rsid w:val="00B55D12"/>
    <w:rsid w:val="00B60F0C"/>
    <w:rsid w:val="00B637CA"/>
    <w:rsid w:val="00B63B8B"/>
    <w:rsid w:val="00B6418F"/>
    <w:rsid w:val="00B64C13"/>
    <w:rsid w:val="00B67B7F"/>
    <w:rsid w:val="00B715E9"/>
    <w:rsid w:val="00B76FB0"/>
    <w:rsid w:val="00B776F9"/>
    <w:rsid w:val="00B77711"/>
    <w:rsid w:val="00B80CAF"/>
    <w:rsid w:val="00B8564D"/>
    <w:rsid w:val="00B95BC9"/>
    <w:rsid w:val="00B960CD"/>
    <w:rsid w:val="00BA3079"/>
    <w:rsid w:val="00BA44CC"/>
    <w:rsid w:val="00BA4CDA"/>
    <w:rsid w:val="00BA6995"/>
    <w:rsid w:val="00BB35DE"/>
    <w:rsid w:val="00BB3E0F"/>
    <w:rsid w:val="00BC74DB"/>
    <w:rsid w:val="00BD64C6"/>
    <w:rsid w:val="00BD68F0"/>
    <w:rsid w:val="00BE1CD8"/>
    <w:rsid w:val="00BE2FB9"/>
    <w:rsid w:val="00BE6F4B"/>
    <w:rsid w:val="00BF4946"/>
    <w:rsid w:val="00BF4D1C"/>
    <w:rsid w:val="00C108FC"/>
    <w:rsid w:val="00C1174F"/>
    <w:rsid w:val="00C23E35"/>
    <w:rsid w:val="00C27B3F"/>
    <w:rsid w:val="00C31297"/>
    <w:rsid w:val="00C3178B"/>
    <w:rsid w:val="00C43FFE"/>
    <w:rsid w:val="00C44D0B"/>
    <w:rsid w:val="00C5455E"/>
    <w:rsid w:val="00C6505B"/>
    <w:rsid w:val="00C71697"/>
    <w:rsid w:val="00C732A3"/>
    <w:rsid w:val="00C76041"/>
    <w:rsid w:val="00C77EFC"/>
    <w:rsid w:val="00C861EB"/>
    <w:rsid w:val="00C87EC4"/>
    <w:rsid w:val="00CA2A29"/>
    <w:rsid w:val="00CA2FC3"/>
    <w:rsid w:val="00CA4639"/>
    <w:rsid w:val="00CA52A8"/>
    <w:rsid w:val="00CB2F29"/>
    <w:rsid w:val="00CB44C9"/>
    <w:rsid w:val="00CB50E5"/>
    <w:rsid w:val="00CB701B"/>
    <w:rsid w:val="00CC1A1C"/>
    <w:rsid w:val="00CC4172"/>
    <w:rsid w:val="00CD3FB1"/>
    <w:rsid w:val="00CE0874"/>
    <w:rsid w:val="00CE5EA1"/>
    <w:rsid w:val="00CE67A7"/>
    <w:rsid w:val="00CF5BAC"/>
    <w:rsid w:val="00D03B43"/>
    <w:rsid w:val="00D06964"/>
    <w:rsid w:val="00D07355"/>
    <w:rsid w:val="00D078CE"/>
    <w:rsid w:val="00D12C80"/>
    <w:rsid w:val="00D13085"/>
    <w:rsid w:val="00D13448"/>
    <w:rsid w:val="00D1583F"/>
    <w:rsid w:val="00D201A9"/>
    <w:rsid w:val="00D20B31"/>
    <w:rsid w:val="00D2113B"/>
    <w:rsid w:val="00D3349C"/>
    <w:rsid w:val="00D3517F"/>
    <w:rsid w:val="00D40AD4"/>
    <w:rsid w:val="00D4229F"/>
    <w:rsid w:val="00D4369F"/>
    <w:rsid w:val="00D44EA3"/>
    <w:rsid w:val="00D46A37"/>
    <w:rsid w:val="00D51994"/>
    <w:rsid w:val="00D51A08"/>
    <w:rsid w:val="00D54639"/>
    <w:rsid w:val="00D806C2"/>
    <w:rsid w:val="00D85213"/>
    <w:rsid w:val="00D86996"/>
    <w:rsid w:val="00D920AD"/>
    <w:rsid w:val="00D924B9"/>
    <w:rsid w:val="00DA2219"/>
    <w:rsid w:val="00DA41BC"/>
    <w:rsid w:val="00DA4DC3"/>
    <w:rsid w:val="00DB05DB"/>
    <w:rsid w:val="00DC06CF"/>
    <w:rsid w:val="00DC1C5B"/>
    <w:rsid w:val="00DC41F0"/>
    <w:rsid w:val="00DC613D"/>
    <w:rsid w:val="00DE3969"/>
    <w:rsid w:val="00DE452A"/>
    <w:rsid w:val="00DF6C1A"/>
    <w:rsid w:val="00E00BC4"/>
    <w:rsid w:val="00E04617"/>
    <w:rsid w:val="00E05802"/>
    <w:rsid w:val="00E1257A"/>
    <w:rsid w:val="00E161F3"/>
    <w:rsid w:val="00E25CF7"/>
    <w:rsid w:val="00E3705D"/>
    <w:rsid w:val="00E42FA3"/>
    <w:rsid w:val="00E462D8"/>
    <w:rsid w:val="00E52014"/>
    <w:rsid w:val="00E546B0"/>
    <w:rsid w:val="00E5652E"/>
    <w:rsid w:val="00E57772"/>
    <w:rsid w:val="00E72720"/>
    <w:rsid w:val="00E7365F"/>
    <w:rsid w:val="00E81D7D"/>
    <w:rsid w:val="00E8208B"/>
    <w:rsid w:val="00E91DD5"/>
    <w:rsid w:val="00E93367"/>
    <w:rsid w:val="00E938EA"/>
    <w:rsid w:val="00E962A2"/>
    <w:rsid w:val="00E975AA"/>
    <w:rsid w:val="00EA026B"/>
    <w:rsid w:val="00EA2CF8"/>
    <w:rsid w:val="00EA3A0A"/>
    <w:rsid w:val="00EA3F8A"/>
    <w:rsid w:val="00EA565E"/>
    <w:rsid w:val="00EA671C"/>
    <w:rsid w:val="00EB7976"/>
    <w:rsid w:val="00EC1995"/>
    <w:rsid w:val="00EC7B6A"/>
    <w:rsid w:val="00EC7C68"/>
    <w:rsid w:val="00ED2A3C"/>
    <w:rsid w:val="00ED7563"/>
    <w:rsid w:val="00EE10F1"/>
    <w:rsid w:val="00EF25CB"/>
    <w:rsid w:val="00F024C4"/>
    <w:rsid w:val="00F03156"/>
    <w:rsid w:val="00F1330B"/>
    <w:rsid w:val="00F20AE3"/>
    <w:rsid w:val="00F21B28"/>
    <w:rsid w:val="00F23E33"/>
    <w:rsid w:val="00F24514"/>
    <w:rsid w:val="00F35BED"/>
    <w:rsid w:val="00F402BD"/>
    <w:rsid w:val="00F40C98"/>
    <w:rsid w:val="00F42A85"/>
    <w:rsid w:val="00F42DE2"/>
    <w:rsid w:val="00F43E58"/>
    <w:rsid w:val="00F46F3D"/>
    <w:rsid w:val="00F57762"/>
    <w:rsid w:val="00F57ABB"/>
    <w:rsid w:val="00F61946"/>
    <w:rsid w:val="00F6520F"/>
    <w:rsid w:val="00F65941"/>
    <w:rsid w:val="00F718B7"/>
    <w:rsid w:val="00F719F4"/>
    <w:rsid w:val="00F722E1"/>
    <w:rsid w:val="00F838F6"/>
    <w:rsid w:val="00F84FFC"/>
    <w:rsid w:val="00F9308E"/>
    <w:rsid w:val="00F94E98"/>
    <w:rsid w:val="00F9792E"/>
    <w:rsid w:val="00FA05DE"/>
    <w:rsid w:val="00FA3EA7"/>
    <w:rsid w:val="00FB4BBD"/>
    <w:rsid w:val="00FB566A"/>
    <w:rsid w:val="00FC0BE3"/>
    <w:rsid w:val="00FC1EBE"/>
    <w:rsid w:val="00FD2CA3"/>
    <w:rsid w:val="00FD3550"/>
    <w:rsid w:val="00FD3F93"/>
    <w:rsid w:val="00FD3FD9"/>
    <w:rsid w:val="00FD4689"/>
    <w:rsid w:val="00FD5DA4"/>
    <w:rsid w:val="00FE06E6"/>
    <w:rsid w:val="00FE53E9"/>
    <w:rsid w:val="00FF046B"/>
    <w:rsid w:val="00FF08D9"/>
    <w:rsid w:val="00FF65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443922B7"/>
  <w15:chartTrackingRefBased/>
  <w15:docId w15:val="{61C98C53-DA0F-4F9D-9E25-CCCD5A4F4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30CD5"/>
    <w:pPr>
      <w:spacing w:after="200" w:line="276" w:lineRule="auto"/>
    </w:pPr>
    <w:rPr>
      <w:rFonts w:ascii="Calibri" w:eastAsia="Times New Roman" w:hAnsi="Calibri" w:cs="Times New Roman"/>
    </w:rPr>
  </w:style>
  <w:style w:type="paragraph" w:styleId="Nadpis1">
    <w:name w:val="heading 1"/>
    <w:basedOn w:val="Normln"/>
    <w:next w:val="Normln"/>
    <w:link w:val="Nadpis1Char"/>
    <w:uiPriority w:val="9"/>
    <w:qFormat/>
    <w:rsid w:val="007873E8"/>
    <w:pPr>
      <w:keepNext/>
      <w:keepLines/>
      <w:numPr>
        <w:numId w:val="7"/>
      </w:numPr>
      <w:spacing w:before="240" w:after="240"/>
      <w:ind w:left="357" w:hanging="357"/>
      <w:outlineLvl w:val="0"/>
    </w:pPr>
    <w:rPr>
      <w:rFonts w:ascii="Arial" w:eastAsiaTheme="majorEastAsia" w:hAnsi="Arial" w:cs="Arial"/>
      <w:color w:val="2F5496" w:themeColor="accent1" w:themeShade="BF"/>
      <w:sz w:val="32"/>
      <w:szCs w:val="32"/>
    </w:rPr>
  </w:style>
  <w:style w:type="paragraph" w:styleId="Nadpis2">
    <w:name w:val="heading 2"/>
    <w:basedOn w:val="Nadpis1"/>
    <w:next w:val="Normln"/>
    <w:link w:val="Nadpis2Char"/>
    <w:uiPriority w:val="9"/>
    <w:unhideWhenUsed/>
    <w:qFormat/>
    <w:rsid w:val="007873E8"/>
    <w:pPr>
      <w:numPr>
        <w:ilvl w:val="1"/>
      </w:numPr>
      <w:outlineLvl w:val="1"/>
    </w:pPr>
    <w:rPr>
      <w:sz w:val="28"/>
    </w:rPr>
  </w:style>
  <w:style w:type="paragraph" w:styleId="Nadpis3">
    <w:name w:val="heading 3"/>
    <w:basedOn w:val="Nadpis1"/>
    <w:next w:val="Normln"/>
    <w:link w:val="Nadpis3Char"/>
    <w:uiPriority w:val="9"/>
    <w:unhideWhenUsed/>
    <w:qFormat/>
    <w:rsid w:val="001271F3"/>
    <w:pPr>
      <w:numPr>
        <w:ilvl w:val="2"/>
      </w:numPr>
      <w:outlineLvl w:val="2"/>
    </w:pPr>
    <w:rPr>
      <w:sz w:val="28"/>
      <w:szCs w:val="28"/>
    </w:rPr>
  </w:style>
  <w:style w:type="paragraph" w:styleId="Nadpis4">
    <w:name w:val="heading 4"/>
    <w:basedOn w:val="Normln"/>
    <w:next w:val="Normln"/>
    <w:link w:val="Nadpis4Char"/>
    <w:uiPriority w:val="9"/>
    <w:semiHidden/>
    <w:unhideWhenUsed/>
    <w:qFormat/>
    <w:rsid w:val="00985A53"/>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unhideWhenUsed/>
    <w:rsid w:val="00FB4BBD"/>
    <w:rPr>
      <w:sz w:val="16"/>
      <w:szCs w:val="16"/>
    </w:rPr>
  </w:style>
  <w:style w:type="paragraph" w:styleId="Textkomente">
    <w:name w:val="annotation text"/>
    <w:basedOn w:val="Normln"/>
    <w:link w:val="TextkomenteChar"/>
    <w:uiPriority w:val="99"/>
    <w:unhideWhenUsed/>
    <w:rsid w:val="00FB4BBD"/>
    <w:pPr>
      <w:spacing w:line="240" w:lineRule="auto"/>
    </w:pPr>
    <w:rPr>
      <w:sz w:val="20"/>
      <w:szCs w:val="20"/>
    </w:rPr>
  </w:style>
  <w:style w:type="character" w:customStyle="1" w:styleId="TextkomenteChar">
    <w:name w:val="Text komentáře Char"/>
    <w:basedOn w:val="Standardnpsmoodstavce"/>
    <w:link w:val="Textkomente"/>
    <w:uiPriority w:val="99"/>
    <w:rsid w:val="00FB4BBD"/>
    <w:rPr>
      <w:rFonts w:ascii="Calibri" w:eastAsia="Times New Roman" w:hAnsi="Calibri" w:cs="Times New Roman"/>
      <w:sz w:val="20"/>
      <w:szCs w:val="20"/>
    </w:rPr>
  </w:style>
  <w:style w:type="paragraph" w:styleId="Pedmtkomente">
    <w:name w:val="annotation subject"/>
    <w:basedOn w:val="Textkomente"/>
    <w:next w:val="Textkomente"/>
    <w:link w:val="PedmtkomenteChar"/>
    <w:uiPriority w:val="99"/>
    <w:semiHidden/>
    <w:unhideWhenUsed/>
    <w:rsid w:val="00FB4BBD"/>
    <w:rPr>
      <w:b/>
      <w:bCs/>
    </w:rPr>
  </w:style>
  <w:style w:type="character" w:customStyle="1" w:styleId="PedmtkomenteChar">
    <w:name w:val="Předmět komentáře Char"/>
    <w:basedOn w:val="TextkomenteChar"/>
    <w:link w:val="Pedmtkomente"/>
    <w:uiPriority w:val="99"/>
    <w:semiHidden/>
    <w:rsid w:val="00FB4BBD"/>
    <w:rPr>
      <w:rFonts w:ascii="Calibri" w:eastAsia="Times New Roman" w:hAnsi="Calibri" w:cs="Times New Roman"/>
      <w:b/>
      <w:bCs/>
      <w:sz w:val="20"/>
      <w:szCs w:val="20"/>
    </w:rPr>
  </w:style>
  <w:style w:type="paragraph" w:styleId="Textbubliny">
    <w:name w:val="Balloon Text"/>
    <w:basedOn w:val="Normln"/>
    <w:link w:val="TextbublinyChar"/>
    <w:uiPriority w:val="99"/>
    <w:semiHidden/>
    <w:unhideWhenUsed/>
    <w:rsid w:val="00FB4BB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B4BBD"/>
    <w:rPr>
      <w:rFonts w:ascii="Segoe UI" w:eastAsia="Times New Roman" w:hAnsi="Segoe UI" w:cs="Segoe UI"/>
      <w:sz w:val="18"/>
      <w:szCs w:val="18"/>
    </w:rPr>
  </w:style>
  <w:style w:type="paragraph" w:styleId="Textpoznpodarou">
    <w:name w:val="footnote text"/>
    <w:aliases w:val="fn,ALTS FOOTNOTE,DTE-Voetnoottekst,Footnote ak,Footnote Text Char1 Char Char,Footnote Text3,Footnote Text12,ALTS FOOTNOTE12,Footnote Text Char112,Footnote Text Char Char Char12,Footnote Text Char1 Char Char Char Char12"/>
    <w:basedOn w:val="Normln"/>
    <w:link w:val="TextpoznpodarouChar"/>
    <w:uiPriority w:val="99"/>
    <w:unhideWhenUsed/>
    <w:qFormat/>
    <w:rsid w:val="00401A7A"/>
    <w:pPr>
      <w:spacing w:after="0" w:line="240" w:lineRule="auto"/>
    </w:pPr>
    <w:rPr>
      <w:sz w:val="20"/>
      <w:szCs w:val="20"/>
    </w:rPr>
  </w:style>
  <w:style w:type="character" w:customStyle="1" w:styleId="TextpoznpodarouChar">
    <w:name w:val="Text pozn. pod čarou Char"/>
    <w:aliases w:val="fn Char,ALTS FOOTNOTE Char,DTE-Voetnoottekst Char,Footnote ak Char,Footnote Text Char1 Char Char Char,Footnote Text3 Char,Footnote Text12 Char,ALTS FOOTNOTE12 Char,Footnote Text Char112 Char,Footnote Text Char Char Char12 Char"/>
    <w:basedOn w:val="Standardnpsmoodstavce"/>
    <w:link w:val="Textpoznpodarou"/>
    <w:uiPriority w:val="99"/>
    <w:rsid w:val="00401A7A"/>
    <w:rPr>
      <w:rFonts w:ascii="Calibri" w:eastAsia="Times New Roman" w:hAnsi="Calibri" w:cs="Times New Roman"/>
      <w:sz w:val="20"/>
      <w:szCs w:val="20"/>
    </w:rPr>
  </w:style>
  <w:style w:type="character" w:styleId="Znakapoznpodarou">
    <w:name w:val="footnote reference"/>
    <w:aliases w:val="Nota,Footnote symbol,Footnote"/>
    <w:basedOn w:val="Standardnpsmoodstavce"/>
    <w:uiPriority w:val="99"/>
    <w:unhideWhenUsed/>
    <w:rsid w:val="00401A7A"/>
    <w:rPr>
      <w:vertAlign w:val="superscript"/>
    </w:rPr>
  </w:style>
  <w:style w:type="character" w:styleId="Hypertextovodkaz">
    <w:name w:val="Hyperlink"/>
    <w:basedOn w:val="Standardnpsmoodstavce"/>
    <w:uiPriority w:val="99"/>
    <w:unhideWhenUsed/>
    <w:rsid w:val="009458F1"/>
    <w:rPr>
      <w:color w:val="0563C1" w:themeColor="hyperlink"/>
      <w:u w:val="single"/>
    </w:rPr>
  </w:style>
  <w:style w:type="character" w:styleId="Nevyeenzmnka">
    <w:name w:val="Unresolved Mention"/>
    <w:basedOn w:val="Standardnpsmoodstavce"/>
    <w:uiPriority w:val="99"/>
    <w:semiHidden/>
    <w:unhideWhenUsed/>
    <w:rsid w:val="009458F1"/>
    <w:rPr>
      <w:color w:val="605E5C"/>
      <w:shd w:val="clear" w:color="auto" w:fill="E1DFDD"/>
    </w:rPr>
  </w:style>
  <w:style w:type="character" w:customStyle="1" w:styleId="Nadpis1Char">
    <w:name w:val="Nadpis 1 Char"/>
    <w:basedOn w:val="Standardnpsmoodstavce"/>
    <w:link w:val="Nadpis1"/>
    <w:uiPriority w:val="9"/>
    <w:rsid w:val="007873E8"/>
    <w:rPr>
      <w:rFonts w:ascii="Arial" w:eastAsiaTheme="majorEastAsia" w:hAnsi="Arial" w:cs="Arial"/>
      <w:color w:val="2F5496" w:themeColor="accent1" w:themeShade="BF"/>
      <w:sz w:val="32"/>
      <w:szCs w:val="32"/>
    </w:rPr>
  </w:style>
  <w:style w:type="character" w:customStyle="1" w:styleId="Nadpis2Char">
    <w:name w:val="Nadpis 2 Char"/>
    <w:basedOn w:val="Standardnpsmoodstavce"/>
    <w:link w:val="Nadpis2"/>
    <w:uiPriority w:val="9"/>
    <w:rsid w:val="007873E8"/>
    <w:rPr>
      <w:rFonts w:ascii="Arial" w:eastAsiaTheme="majorEastAsia" w:hAnsi="Arial" w:cs="Arial"/>
      <w:color w:val="2F5496" w:themeColor="accent1" w:themeShade="BF"/>
      <w:sz w:val="28"/>
      <w:szCs w:val="32"/>
    </w:rPr>
  </w:style>
  <w:style w:type="character" w:customStyle="1" w:styleId="Nadpis3Char">
    <w:name w:val="Nadpis 3 Char"/>
    <w:basedOn w:val="Standardnpsmoodstavce"/>
    <w:link w:val="Nadpis3"/>
    <w:uiPriority w:val="9"/>
    <w:rsid w:val="001271F3"/>
    <w:rPr>
      <w:rFonts w:ascii="Arial" w:eastAsiaTheme="majorEastAsia" w:hAnsi="Arial" w:cs="Arial"/>
      <w:color w:val="2F5496" w:themeColor="accent1" w:themeShade="BF"/>
      <w:sz w:val="28"/>
      <w:szCs w:val="28"/>
    </w:rPr>
  </w:style>
  <w:style w:type="character" w:customStyle="1" w:styleId="Nadpis4Char">
    <w:name w:val="Nadpis 4 Char"/>
    <w:basedOn w:val="Standardnpsmoodstavce"/>
    <w:link w:val="Nadpis4"/>
    <w:uiPriority w:val="9"/>
    <w:semiHidden/>
    <w:rsid w:val="00985A53"/>
    <w:rPr>
      <w:rFonts w:asciiTheme="majorHAnsi" w:eastAsiaTheme="majorEastAsia" w:hAnsiTheme="majorHAnsi" w:cstheme="majorBidi"/>
      <w:i/>
      <w:iCs/>
      <w:color w:val="2F5496" w:themeColor="accent1" w:themeShade="BF"/>
    </w:rPr>
  </w:style>
  <w:style w:type="paragraph" w:customStyle="1" w:styleId="Vvojcen-zkladntext">
    <w:name w:val="Vývoj cen - základní text"/>
    <w:basedOn w:val="Normln"/>
    <w:link w:val="Vvojcen-zkladntextChar"/>
    <w:rsid w:val="00985A53"/>
    <w:pPr>
      <w:spacing w:before="120" w:after="120" w:line="240" w:lineRule="auto"/>
      <w:ind w:firstLine="709"/>
      <w:jc w:val="both"/>
    </w:pPr>
    <w:rPr>
      <w:rFonts w:ascii="Arial" w:hAnsi="Arial"/>
      <w:lang w:eastAsia="cs-CZ"/>
    </w:rPr>
  </w:style>
  <w:style w:type="character" w:customStyle="1" w:styleId="Vvojcen-zkladntextChar">
    <w:name w:val="Vývoj cen - základní text Char"/>
    <w:basedOn w:val="Standardnpsmoodstavce"/>
    <w:link w:val="Vvojcen-zkladntext"/>
    <w:rsid w:val="00985A53"/>
    <w:rPr>
      <w:rFonts w:ascii="Arial" w:eastAsia="Times New Roman" w:hAnsi="Arial" w:cs="Times New Roman"/>
      <w:lang w:eastAsia="cs-CZ"/>
    </w:rPr>
  </w:style>
  <w:style w:type="paragraph" w:customStyle="1" w:styleId="Vvojcen-podnadpis">
    <w:name w:val="Vývoj cen - podnadpis"/>
    <w:basedOn w:val="Normln"/>
    <w:next w:val="Normln"/>
    <w:rsid w:val="00985A53"/>
    <w:pPr>
      <w:keepNext/>
      <w:spacing w:before="360" w:after="120" w:line="240" w:lineRule="auto"/>
    </w:pPr>
    <w:rPr>
      <w:rFonts w:ascii="Arial" w:hAnsi="Arial" w:cs="Arial"/>
      <w:b/>
      <w:lang w:eastAsia="cs-CZ"/>
    </w:rPr>
  </w:style>
  <w:style w:type="paragraph" w:customStyle="1" w:styleId="Vvojcen-odrky">
    <w:name w:val="Vývoj cen - odrážky"/>
    <w:basedOn w:val="Seznam"/>
    <w:rsid w:val="00985A53"/>
    <w:pPr>
      <w:numPr>
        <w:numId w:val="1"/>
      </w:numPr>
      <w:spacing w:before="120" w:after="0" w:line="240" w:lineRule="auto"/>
      <w:contextualSpacing w:val="0"/>
      <w:jc w:val="both"/>
    </w:pPr>
    <w:rPr>
      <w:rFonts w:ascii="Arial" w:eastAsia="Times New Roman" w:hAnsi="Arial" w:cs="Arial"/>
      <w:lang w:eastAsia="cs-CZ"/>
    </w:rPr>
  </w:style>
  <w:style w:type="paragraph" w:styleId="Seznam">
    <w:name w:val="List"/>
    <w:basedOn w:val="Normln"/>
    <w:uiPriority w:val="99"/>
    <w:semiHidden/>
    <w:unhideWhenUsed/>
    <w:rsid w:val="00985A53"/>
    <w:pPr>
      <w:spacing w:after="160" w:line="259" w:lineRule="auto"/>
      <w:ind w:left="283" w:hanging="283"/>
      <w:contextualSpacing/>
    </w:pPr>
    <w:rPr>
      <w:rFonts w:asciiTheme="minorHAnsi" w:eastAsiaTheme="minorHAnsi" w:hAnsiTheme="minorHAnsi" w:cstheme="minorBidi"/>
    </w:rPr>
  </w:style>
  <w:style w:type="character" w:styleId="Sledovanodkaz">
    <w:name w:val="FollowedHyperlink"/>
    <w:basedOn w:val="Standardnpsmoodstavce"/>
    <w:uiPriority w:val="99"/>
    <w:semiHidden/>
    <w:unhideWhenUsed/>
    <w:rsid w:val="00985A53"/>
    <w:rPr>
      <w:color w:val="954F72" w:themeColor="followedHyperlink"/>
      <w:u w:val="single"/>
    </w:rPr>
  </w:style>
  <w:style w:type="paragraph" w:styleId="Titulek">
    <w:name w:val="caption"/>
    <w:basedOn w:val="Normln"/>
    <w:next w:val="Normln"/>
    <w:uiPriority w:val="35"/>
    <w:unhideWhenUsed/>
    <w:qFormat/>
    <w:rsid w:val="00985A53"/>
    <w:pPr>
      <w:spacing w:line="240" w:lineRule="auto"/>
    </w:pPr>
    <w:rPr>
      <w:rFonts w:asciiTheme="minorHAnsi" w:eastAsiaTheme="minorHAnsi" w:hAnsiTheme="minorHAnsi" w:cstheme="minorBidi"/>
      <w:i/>
      <w:iCs/>
      <w:color w:val="44546A" w:themeColor="text2"/>
      <w:sz w:val="18"/>
      <w:szCs w:val="18"/>
    </w:rPr>
  </w:style>
  <w:style w:type="paragraph" w:styleId="Zhlav">
    <w:name w:val="header"/>
    <w:basedOn w:val="Normln"/>
    <w:link w:val="ZhlavChar"/>
    <w:uiPriority w:val="99"/>
    <w:unhideWhenUsed/>
    <w:rsid w:val="00985A53"/>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985A53"/>
  </w:style>
  <w:style w:type="paragraph" w:styleId="Zpat">
    <w:name w:val="footer"/>
    <w:basedOn w:val="Normln"/>
    <w:link w:val="ZpatChar"/>
    <w:uiPriority w:val="99"/>
    <w:unhideWhenUsed/>
    <w:rsid w:val="00985A53"/>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985A53"/>
  </w:style>
  <w:style w:type="paragraph" w:styleId="Odstavecseseznamem">
    <w:name w:val="List Paragraph"/>
    <w:basedOn w:val="Normln"/>
    <w:uiPriority w:val="34"/>
    <w:qFormat/>
    <w:rsid w:val="00985A53"/>
    <w:pPr>
      <w:spacing w:after="160" w:line="259" w:lineRule="auto"/>
      <w:ind w:left="720"/>
      <w:contextualSpacing/>
    </w:pPr>
    <w:rPr>
      <w:rFonts w:asciiTheme="minorHAnsi" w:eastAsiaTheme="minorHAnsi" w:hAnsiTheme="minorHAnsi" w:cstheme="minorBidi"/>
    </w:rPr>
  </w:style>
  <w:style w:type="paragraph" w:styleId="Podnadpis">
    <w:name w:val="Subtitle"/>
    <w:basedOn w:val="Normln"/>
    <w:next w:val="Normln"/>
    <w:link w:val="PodnadpisChar"/>
    <w:uiPriority w:val="11"/>
    <w:qFormat/>
    <w:rsid w:val="00985A53"/>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PodnadpisChar">
    <w:name w:val="Podnadpis Char"/>
    <w:basedOn w:val="Standardnpsmoodstavce"/>
    <w:link w:val="Podnadpis"/>
    <w:uiPriority w:val="11"/>
    <w:rsid w:val="00985A53"/>
    <w:rPr>
      <w:rFonts w:eastAsiaTheme="minorEastAsia"/>
      <w:color w:val="5A5A5A" w:themeColor="text1" w:themeTint="A5"/>
      <w:spacing w:val="15"/>
    </w:rPr>
  </w:style>
  <w:style w:type="character" w:customStyle="1" w:styleId="field-content">
    <w:name w:val="field-content"/>
    <w:basedOn w:val="Standardnpsmoodstavce"/>
    <w:rsid w:val="00985A53"/>
  </w:style>
  <w:style w:type="paragraph" w:styleId="Revize">
    <w:name w:val="Revision"/>
    <w:hidden/>
    <w:uiPriority w:val="99"/>
    <w:semiHidden/>
    <w:rsid w:val="00985A53"/>
    <w:pPr>
      <w:spacing w:after="0" w:line="240" w:lineRule="auto"/>
    </w:pPr>
  </w:style>
  <w:style w:type="character" w:styleId="Zmnka">
    <w:name w:val="Mention"/>
    <w:basedOn w:val="Standardnpsmoodstavce"/>
    <w:uiPriority w:val="99"/>
    <w:semiHidden/>
    <w:unhideWhenUsed/>
    <w:rsid w:val="00985A53"/>
    <w:rPr>
      <w:color w:val="2B579A"/>
      <w:shd w:val="clear" w:color="auto" w:fill="E6E6E6"/>
    </w:rPr>
  </w:style>
  <w:style w:type="paragraph" w:customStyle="1" w:styleId="Default">
    <w:name w:val="Default"/>
    <w:rsid w:val="00985A53"/>
    <w:pPr>
      <w:autoSpaceDE w:val="0"/>
      <w:autoSpaceDN w:val="0"/>
      <w:adjustRightInd w:val="0"/>
      <w:spacing w:after="0" w:line="240" w:lineRule="auto"/>
    </w:pPr>
    <w:rPr>
      <w:rFonts w:ascii="Arial" w:hAnsi="Arial" w:cs="Arial"/>
      <w:color w:val="000000"/>
      <w:sz w:val="24"/>
      <w:szCs w:val="24"/>
    </w:rPr>
  </w:style>
  <w:style w:type="paragraph" w:customStyle="1" w:styleId="Styl1">
    <w:name w:val="Styl1"/>
    <w:basedOn w:val="Normln"/>
    <w:link w:val="Styl1Char"/>
    <w:qFormat/>
    <w:rsid w:val="00985A53"/>
    <w:pPr>
      <w:keepNext/>
      <w:numPr>
        <w:numId w:val="9"/>
      </w:numPr>
      <w:spacing w:after="120"/>
      <w:jc w:val="both"/>
    </w:pPr>
    <w:rPr>
      <w:rFonts w:ascii="Arial" w:eastAsiaTheme="minorHAnsi" w:hAnsi="Arial" w:cs="Arial"/>
      <w:b/>
      <w:i/>
      <w:color w:val="000000"/>
    </w:rPr>
  </w:style>
  <w:style w:type="character" w:customStyle="1" w:styleId="Styl1Char">
    <w:name w:val="Styl1 Char"/>
    <w:basedOn w:val="Standardnpsmoodstavce"/>
    <w:link w:val="Styl1"/>
    <w:rsid w:val="00985A53"/>
    <w:rPr>
      <w:rFonts w:ascii="Arial" w:hAnsi="Arial" w:cs="Arial"/>
      <w:b/>
      <w:i/>
      <w:color w:val="000000"/>
    </w:rPr>
  </w:style>
  <w:style w:type="paragraph" w:styleId="Bezmezer">
    <w:name w:val="No Spacing"/>
    <w:link w:val="BezmezerChar"/>
    <w:uiPriority w:val="1"/>
    <w:qFormat/>
    <w:rsid w:val="00985A53"/>
    <w:pPr>
      <w:spacing w:after="0" w:line="240" w:lineRule="auto"/>
    </w:pPr>
  </w:style>
  <w:style w:type="character" w:styleId="slodku">
    <w:name w:val="line number"/>
    <w:basedOn w:val="Standardnpsmoodstavce"/>
    <w:uiPriority w:val="99"/>
    <w:semiHidden/>
    <w:unhideWhenUsed/>
    <w:rsid w:val="00985A53"/>
  </w:style>
  <w:style w:type="character" w:customStyle="1" w:styleId="BezmezerChar">
    <w:name w:val="Bez mezer Char"/>
    <w:basedOn w:val="Standardnpsmoodstavce"/>
    <w:link w:val="Bezmezer"/>
    <w:uiPriority w:val="1"/>
    <w:rsid w:val="00985A53"/>
  </w:style>
  <w:style w:type="paragraph" w:styleId="Nadpisobsahu">
    <w:name w:val="TOC Heading"/>
    <w:basedOn w:val="Nadpis1"/>
    <w:next w:val="Normln"/>
    <w:uiPriority w:val="39"/>
    <w:unhideWhenUsed/>
    <w:qFormat/>
    <w:rsid w:val="00411AE4"/>
    <w:pPr>
      <w:numPr>
        <w:numId w:val="0"/>
      </w:numPr>
      <w:spacing w:after="0" w:line="259" w:lineRule="auto"/>
      <w:outlineLvl w:val="9"/>
    </w:pPr>
    <w:rPr>
      <w:rFonts w:asciiTheme="majorHAnsi" w:hAnsiTheme="majorHAnsi" w:cstheme="majorBidi"/>
      <w:lang w:eastAsia="cs-CZ"/>
    </w:rPr>
  </w:style>
  <w:style w:type="paragraph" w:styleId="Obsah3">
    <w:name w:val="toc 3"/>
    <w:basedOn w:val="Normln"/>
    <w:next w:val="Normln"/>
    <w:autoRedefine/>
    <w:uiPriority w:val="39"/>
    <w:unhideWhenUsed/>
    <w:rsid w:val="00411AE4"/>
    <w:pPr>
      <w:spacing w:after="100"/>
      <w:ind w:left="440"/>
    </w:pPr>
  </w:style>
  <w:style w:type="paragraph" w:styleId="Obsah2">
    <w:name w:val="toc 2"/>
    <w:basedOn w:val="Normln"/>
    <w:next w:val="Normln"/>
    <w:autoRedefine/>
    <w:uiPriority w:val="39"/>
    <w:unhideWhenUsed/>
    <w:rsid w:val="00411AE4"/>
    <w:pPr>
      <w:spacing w:after="100"/>
      <w:ind w:left="220"/>
    </w:pPr>
  </w:style>
  <w:style w:type="paragraph" w:styleId="Obsah1">
    <w:name w:val="toc 1"/>
    <w:basedOn w:val="Normln"/>
    <w:next w:val="Normln"/>
    <w:autoRedefine/>
    <w:uiPriority w:val="39"/>
    <w:unhideWhenUsed/>
    <w:rsid w:val="00411AE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937444">
      <w:bodyDiv w:val="1"/>
      <w:marLeft w:val="0"/>
      <w:marRight w:val="0"/>
      <w:marTop w:val="0"/>
      <w:marBottom w:val="0"/>
      <w:divBdr>
        <w:top w:val="none" w:sz="0" w:space="0" w:color="auto"/>
        <w:left w:val="none" w:sz="0" w:space="0" w:color="auto"/>
        <w:bottom w:val="none" w:sz="0" w:space="0" w:color="auto"/>
        <w:right w:val="none" w:sz="0" w:space="0" w:color="auto"/>
      </w:divBdr>
    </w:div>
    <w:div w:id="98239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tu.cz/sites/default/files/obsah/ctu/vyzva-k-uplatneni-pripominek-k-navrhu-testu-tri-kriterii-pro-trh-mobilnich-sluzeb/obrazky/tabulkavyporadani3ktest.pdf" TargetMode="External"/><Relationship Id="rId18" Type="http://schemas.openxmlformats.org/officeDocument/2006/relationships/hyperlink" Target="https://www.ctu.cz/ramcova-pozice-ceskeho-telekomunikacniho-uradu-k-pripominkam-k-predbezne-analyze-velkoobchodniho"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tu.cz/vyzva-k-uplatneni-pripominek-k-navrhu-testu-tri-kriterii-pro-trh-mobilnich-sluzeb" TargetMode="External"/><Relationship Id="rId17" Type="http://schemas.openxmlformats.org/officeDocument/2006/relationships/hyperlink" Target="https://www.ctu.cz/sdeleni-o-zahajeni-konzultace-k-predbezne-analyze-velkoobchodniho-trhu-mobilnich-sluzeb"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eur-lex.europa.eu/legal-content/CS/ALL/?uri=CELEX:12008E101"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tu.cz/vyzva-k-uplatneni-pripominek-k-navrhu-testu-tri-kriterii-pro-trh-mobilnich-sluzeb"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www.ctu.cz/sites/default/files/obsah/stranky/223526/soubory/cz-2019-218920adoptedcsredacted.pd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hyperlink" Target="https://www.ctu.cz/vyzva-k-uplatneni-pripominek-k-navrhu-testu-tri-kriterii-pro-trh-mobilnich-sluzeb"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www.ctu.cz/sites/default/files/obsah/stranky/223526/soubory/trhmobilnichsluzebt3k-kezverejneniverejnaverze.pdf" TargetMode="External"/><Relationship Id="rId14" Type="http://schemas.openxmlformats.org/officeDocument/2006/relationships/hyperlink" Target="https://www.ctu.cz/sites/default/files/obsah/stranky/223526/soubory/pripominkyuohskt3k04-2018.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yperlink" Target="https://www.ctu.cz/sites/default/files/obsah/ctu/metodika-analyz-relevantnich-trhu/obrazky/metodikaanalyzrelevantnichtrhu.pdf"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tu.cz/stanovisko-ceskeho-telekomunikacniho-uradu-ke-sdileni-siti-2g-3g-4g-pro-ucely-komplexniho" TargetMode="External"/><Relationship Id="rId2" Type="http://schemas.openxmlformats.org/officeDocument/2006/relationships/hyperlink" Target="https://www.ctu.cz/trh-c-8-pristup-puvod-volani-originace-ve-verejnych-mobilnich-telefonnich-sitich-0" TargetMode="External"/><Relationship Id="rId1" Type="http://schemas.openxmlformats.org/officeDocument/2006/relationships/hyperlink" Target="https://ec.europa.eu/digital-single-market/en/news/explanatory-note-accompanying-commission-recommendation-relevant-product-and-service-markets" TargetMode="External"/><Relationship Id="rId4" Type="http://schemas.openxmlformats.org/officeDocument/2006/relationships/hyperlink" Target="https://ec.europa.eu/commission/presscorner/detail/cs/ip_19_5110"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90496-2B37-421E-A6A8-AF990E1A6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E64BD609</Template>
  <TotalTime>33</TotalTime>
  <Pages>25</Pages>
  <Words>4353</Words>
  <Characters>25686</Characters>
  <Application>Microsoft Office Word</Application>
  <DocSecurity>0</DocSecurity>
  <Lines>214</Lines>
  <Paragraphs>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611</dc:creator>
  <cp:keywords/>
  <dc:description/>
  <cp:lastModifiedBy>ŠTICH Ondřej</cp:lastModifiedBy>
  <cp:revision>25</cp:revision>
  <cp:lastPrinted>2019-09-06T07:45:00Z</cp:lastPrinted>
  <dcterms:created xsi:type="dcterms:W3CDTF">2019-09-11T07:24:00Z</dcterms:created>
  <dcterms:modified xsi:type="dcterms:W3CDTF">2019-09-11T08:09:00Z</dcterms:modified>
</cp:coreProperties>
</file>