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9A35" w14:textId="77777777" w:rsidR="00507FD8" w:rsidRPr="00713561" w:rsidRDefault="00507FD8" w:rsidP="007135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13561">
        <w:rPr>
          <w:rFonts w:ascii="Arial" w:hAnsi="Arial" w:cs="Arial"/>
          <w:b/>
          <w:sz w:val="32"/>
          <w:szCs w:val="32"/>
        </w:rPr>
        <w:t>Formulář pro uplatnění připomínek, stanovisek a názorů</w:t>
      </w:r>
    </w:p>
    <w:p w14:paraId="03A49097" w14:textId="77777777" w:rsidR="00507FD8" w:rsidRDefault="00507FD8" w:rsidP="00507FD8">
      <w:pPr>
        <w:rPr>
          <w:b/>
        </w:rPr>
      </w:pPr>
    </w:p>
    <w:p w14:paraId="5B4BA035" w14:textId="77777777" w:rsidR="00507FD8" w:rsidRDefault="00507FD8" w:rsidP="00507FD8">
      <w:pPr>
        <w:rPr>
          <w:b/>
        </w:rPr>
      </w:pPr>
    </w:p>
    <w:p w14:paraId="6FD594A0" w14:textId="1ACC4873" w:rsidR="00507FD8" w:rsidRDefault="00507FD8" w:rsidP="00E70CA5">
      <w:pPr>
        <w:jc w:val="both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  <w:r w:rsidR="00E70CA5" w:rsidRPr="00E70CA5">
        <w:rPr>
          <w:rFonts w:ascii="Arial" w:hAnsi="Arial" w:cs="Arial"/>
          <w:sz w:val="22"/>
          <w:szCs w:val="22"/>
        </w:rPr>
        <w:t>VÝZVA k uplatnění připomínek k návrhu opatření obecné povahy, kterým se stanoví seznam relevantních trhů</w:t>
      </w:r>
    </w:p>
    <w:p w14:paraId="2A0434DA" w14:textId="77777777" w:rsidR="00E70CA5" w:rsidRPr="00E6618D" w:rsidRDefault="00E70CA5" w:rsidP="00E70C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B39E41" w14:textId="50055B47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  <w:r w:rsidR="000A7990" w:rsidRPr="000A7990">
        <w:rPr>
          <w:rFonts w:ascii="Arial" w:hAnsi="Arial" w:cs="Arial"/>
          <w:sz w:val="22"/>
          <w:szCs w:val="22"/>
        </w:rPr>
        <w:t>ČTÚ-37 393/2019-611</w:t>
      </w:r>
    </w:p>
    <w:p w14:paraId="58CB259D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046ED793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2B50C638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4D12570" w14:textId="77777777" w:rsidR="00507FD8" w:rsidRPr="00DA0D1C" w:rsidRDefault="00507FD8" w:rsidP="00507FD8">
      <w:pPr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  <w:r w:rsidR="00DA0D1C" w:rsidRPr="00DA0D1C">
        <w:rPr>
          <w:rFonts w:ascii="Arial" w:hAnsi="Arial" w:cs="Arial"/>
          <w:sz w:val="22"/>
          <w:szCs w:val="22"/>
        </w:rPr>
        <w:t>O2 Czech Republic a.s.</w:t>
      </w:r>
    </w:p>
    <w:p w14:paraId="7696246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78FEB69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DA0D1C" w:rsidRPr="00DA0D1C">
        <w:t xml:space="preserve"> </w:t>
      </w:r>
      <w:r w:rsidR="00DA0D1C" w:rsidRPr="00DA0D1C">
        <w:rPr>
          <w:rFonts w:ascii="Arial" w:hAnsi="Arial" w:cs="Arial"/>
          <w:sz w:val="22"/>
          <w:szCs w:val="22"/>
        </w:rPr>
        <w:t>60193336</w:t>
      </w:r>
    </w:p>
    <w:p w14:paraId="5EB09E58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8B772CE" w14:textId="77777777" w:rsidR="00DA0D1C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</w:p>
    <w:p w14:paraId="70BC24B2" w14:textId="7643091D" w:rsidR="00507FD8" w:rsidRPr="00DA0D1C" w:rsidRDefault="00846904" w:rsidP="00507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Koděra</w:t>
      </w:r>
      <w:r w:rsidR="00DA0D1C" w:rsidRPr="00DA0D1C">
        <w:rPr>
          <w:rFonts w:ascii="Arial" w:hAnsi="Arial" w:cs="Arial"/>
          <w:sz w:val="22"/>
          <w:szCs w:val="22"/>
        </w:rPr>
        <w:t>, 271 46</w:t>
      </w:r>
      <w:r>
        <w:rPr>
          <w:rFonts w:ascii="Arial" w:hAnsi="Arial" w:cs="Arial"/>
          <w:sz w:val="22"/>
          <w:szCs w:val="22"/>
        </w:rPr>
        <w:t>4</w:t>
      </w:r>
      <w:r w:rsidR="00DA0D1C" w:rsidRPr="00DA0D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631</w:t>
      </w:r>
      <w:r w:rsidR="00DA0D1C" w:rsidRPr="00DA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milos.kodera</w:t>
      </w:r>
      <w:r w:rsidR="00DA0D1C" w:rsidRPr="00DA0D1C">
        <w:rPr>
          <w:rFonts w:ascii="Arial" w:hAnsi="Arial" w:cs="Arial"/>
          <w:sz w:val="22"/>
          <w:szCs w:val="22"/>
        </w:rPr>
        <w:t>@o2.cz</w:t>
      </w:r>
    </w:p>
    <w:p w14:paraId="7CD8B506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20A5AAD5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0E976667" w14:textId="77777777" w:rsidR="00507FD8" w:rsidRPr="00713561" w:rsidRDefault="00507FD8" w:rsidP="00713561">
      <w:pPr>
        <w:rPr>
          <w:rFonts w:ascii="Arial" w:hAnsi="Arial" w:cs="Arial"/>
          <w:b/>
          <w:sz w:val="22"/>
          <w:szCs w:val="22"/>
        </w:rPr>
      </w:pPr>
      <w:r w:rsidRPr="00713561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614039A9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77F0E3BB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6F5D66E1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6D40BFF2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68108AA4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DA3ACCA" w14:textId="646186EE" w:rsidR="00D27890" w:rsidRDefault="00D278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B289AD8" w14:textId="094322A2" w:rsidR="00507FD8" w:rsidRPr="00D27890" w:rsidRDefault="00507FD8" w:rsidP="00F74723">
      <w:pPr>
        <w:pStyle w:val="Nadpis1"/>
      </w:pPr>
      <w:r w:rsidRPr="00E6618D">
        <w:lastRenderedPageBreak/>
        <w:t>I.</w:t>
      </w:r>
      <w:r w:rsidRPr="00E6618D">
        <w:tab/>
        <w:t>PŘIPOMÍNKY k jednotlivým částem/ustanovením návrhu opatření:</w:t>
      </w:r>
    </w:p>
    <w:p w14:paraId="0FC94C07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647170C9" w14:textId="75D7289C" w:rsidR="00952E1E" w:rsidRPr="000A7189" w:rsidRDefault="00B24F88" w:rsidP="00952E1E">
      <w:pPr>
        <w:pStyle w:val="Nadpis2"/>
        <w:rPr>
          <w:szCs w:val="26"/>
        </w:rPr>
      </w:pPr>
      <w:r>
        <w:rPr>
          <w:szCs w:val="26"/>
        </w:rPr>
        <w:t xml:space="preserve">Respektování </w:t>
      </w:r>
      <w:r w:rsidR="00F15C49">
        <w:rPr>
          <w:szCs w:val="26"/>
        </w:rPr>
        <w:t>rozhodnutí</w:t>
      </w:r>
      <w:r>
        <w:rPr>
          <w:szCs w:val="26"/>
        </w:rPr>
        <w:t xml:space="preserve"> </w:t>
      </w:r>
      <w:r w:rsidR="00A82EC9">
        <w:rPr>
          <w:szCs w:val="26"/>
        </w:rPr>
        <w:t xml:space="preserve">Evropské komise </w:t>
      </w:r>
      <w:r w:rsidR="008D1AE0">
        <w:rPr>
          <w:szCs w:val="26"/>
        </w:rPr>
        <w:t>k provedenému testu tří kritérií</w:t>
      </w:r>
    </w:p>
    <w:p w14:paraId="6C6095C2" w14:textId="77777777" w:rsidR="00952E1E" w:rsidRDefault="00952E1E" w:rsidP="00952E1E">
      <w:pPr>
        <w:ind w:firstLine="357"/>
        <w:rPr>
          <w:rFonts w:ascii="Arial" w:hAnsi="Arial" w:cs="Arial"/>
          <w:i/>
          <w:sz w:val="22"/>
          <w:szCs w:val="22"/>
        </w:rPr>
      </w:pPr>
    </w:p>
    <w:p w14:paraId="16F5A688" w14:textId="77777777" w:rsidR="00952E1E" w:rsidRPr="00E6618D" w:rsidRDefault="00952E1E" w:rsidP="00952E1E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505E1435" w14:textId="77777777" w:rsidR="00952E1E" w:rsidRDefault="00952E1E" w:rsidP="00952E1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C03BBED" w14:textId="1C610B98" w:rsidR="00952E1E" w:rsidRPr="00952E1E" w:rsidRDefault="00B5124A" w:rsidP="00F15C49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Respektovat naléhavou žádost </w:t>
      </w:r>
      <w:r w:rsidR="002C1290">
        <w:rPr>
          <w:rFonts w:ascii="Arial" w:hAnsi="Arial" w:cs="Arial"/>
          <w:b/>
          <w:sz w:val="22"/>
          <w:szCs w:val="22"/>
        </w:rPr>
        <w:t>Evropsk</w:t>
      </w:r>
      <w:r>
        <w:rPr>
          <w:rFonts w:ascii="Arial" w:hAnsi="Arial" w:cs="Arial"/>
          <w:b/>
          <w:sz w:val="22"/>
          <w:szCs w:val="22"/>
        </w:rPr>
        <w:t>é</w:t>
      </w:r>
      <w:r w:rsidR="002C1290">
        <w:rPr>
          <w:rFonts w:ascii="Arial" w:hAnsi="Arial" w:cs="Arial"/>
          <w:b/>
          <w:sz w:val="22"/>
          <w:szCs w:val="22"/>
        </w:rPr>
        <w:t xml:space="preserve"> komise 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5C49" w:rsidRPr="005E4750">
        <w:rPr>
          <w:rFonts w:ascii="Arial" w:hAnsi="Arial" w:cs="Arial"/>
          <w:b/>
          <w:i/>
          <w:sz w:val="22"/>
          <w:szCs w:val="22"/>
        </w:rPr>
        <w:t xml:space="preserve">Rozhodnutí </w:t>
      </w:r>
      <w:r w:rsidR="005E4750" w:rsidRPr="005E4750">
        <w:rPr>
          <w:rFonts w:ascii="Arial" w:hAnsi="Arial" w:cs="Arial"/>
          <w:b/>
          <w:i/>
          <w:sz w:val="22"/>
          <w:szCs w:val="22"/>
        </w:rPr>
        <w:t>Evropské k</w:t>
      </w:r>
      <w:r w:rsidR="00F15C49" w:rsidRPr="005E4750">
        <w:rPr>
          <w:rFonts w:ascii="Arial" w:hAnsi="Arial" w:cs="Arial"/>
          <w:b/>
          <w:i/>
          <w:sz w:val="22"/>
          <w:szCs w:val="22"/>
        </w:rPr>
        <w:t>omise ve věci CZ/2019/2189: Velkoobchodní trh přístupu a původu volání ve veřejných mobilních telefonních sítích v České republice</w:t>
      </w:r>
      <w:r w:rsidR="002C1290">
        <w:rPr>
          <w:rFonts w:ascii="Arial" w:hAnsi="Arial" w:cs="Arial"/>
          <w:b/>
          <w:sz w:val="22"/>
          <w:szCs w:val="22"/>
        </w:rPr>
        <w:t xml:space="preserve"> </w:t>
      </w:r>
      <w:r w:rsidR="00B53254">
        <w:rPr>
          <w:rFonts w:ascii="Arial" w:hAnsi="Arial" w:cs="Arial"/>
          <w:b/>
          <w:sz w:val="22"/>
          <w:szCs w:val="22"/>
        </w:rPr>
        <w:t>a</w:t>
      </w:r>
      <w:r w:rsidR="0038030A">
        <w:rPr>
          <w:rFonts w:ascii="Arial" w:hAnsi="Arial" w:cs="Arial"/>
          <w:b/>
          <w:sz w:val="22"/>
          <w:szCs w:val="22"/>
        </w:rPr>
        <w:t xml:space="preserve"> </w:t>
      </w:r>
      <w:r w:rsidR="002257A3" w:rsidRPr="002257A3">
        <w:rPr>
          <w:rFonts w:ascii="Arial" w:hAnsi="Arial" w:cs="Arial"/>
          <w:b/>
          <w:sz w:val="22"/>
          <w:szCs w:val="22"/>
        </w:rPr>
        <w:t>přehodnoti</w:t>
      </w:r>
      <w:r w:rsidR="00B53254">
        <w:rPr>
          <w:rFonts w:ascii="Arial" w:hAnsi="Arial" w:cs="Arial"/>
          <w:b/>
          <w:sz w:val="22"/>
          <w:szCs w:val="22"/>
        </w:rPr>
        <w:t>t</w:t>
      </w:r>
      <w:r w:rsidR="002257A3" w:rsidRPr="002257A3">
        <w:rPr>
          <w:rFonts w:ascii="Arial" w:hAnsi="Arial" w:cs="Arial"/>
          <w:b/>
          <w:sz w:val="22"/>
          <w:szCs w:val="22"/>
        </w:rPr>
        <w:t xml:space="preserve"> své závěry o potřebě regulovat tento trh na základě zjištění uvedených v</w:t>
      </w:r>
      <w:r w:rsidR="002257A3">
        <w:rPr>
          <w:rFonts w:ascii="Arial" w:hAnsi="Arial" w:cs="Arial"/>
          <w:b/>
          <w:sz w:val="22"/>
          <w:szCs w:val="22"/>
        </w:rPr>
        <w:t xml:space="preserve"> provedeném </w:t>
      </w:r>
      <w:r w:rsidR="00D344AA">
        <w:rPr>
          <w:rFonts w:ascii="Arial" w:hAnsi="Arial" w:cs="Arial"/>
          <w:b/>
          <w:sz w:val="22"/>
          <w:szCs w:val="22"/>
        </w:rPr>
        <w:t>t</w:t>
      </w:r>
      <w:r w:rsidR="002257A3">
        <w:rPr>
          <w:rFonts w:ascii="Arial" w:hAnsi="Arial" w:cs="Arial"/>
          <w:b/>
          <w:sz w:val="22"/>
          <w:szCs w:val="22"/>
        </w:rPr>
        <w:t>estu tří kritérií</w:t>
      </w:r>
      <w:r w:rsidR="009C7447">
        <w:rPr>
          <w:rFonts w:ascii="Arial" w:hAnsi="Arial" w:cs="Arial"/>
          <w:b/>
          <w:sz w:val="22"/>
          <w:szCs w:val="22"/>
        </w:rPr>
        <w:t xml:space="preserve"> jeho důslednou </w:t>
      </w:r>
      <w:proofErr w:type="gramStart"/>
      <w:r w:rsidR="009C7447">
        <w:rPr>
          <w:rFonts w:ascii="Arial" w:hAnsi="Arial" w:cs="Arial"/>
          <w:b/>
          <w:sz w:val="22"/>
          <w:szCs w:val="22"/>
        </w:rPr>
        <w:t>revizí</w:t>
      </w:r>
      <w:proofErr w:type="gramEnd"/>
      <w:r w:rsidR="009C7447">
        <w:rPr>
          <w:rFonts w:ascii="Arial" w:hAnsi="Arial" w:cs="Arial"/>
          <w:b/>
          <w:sz w:val="22"/>
          <w:szCs w:val="22"/>
        </w:rPr>
        <w:t xml:space="preserve"> resp. zpracováním nového testu tří kritérií respektující připomínky </w:t>
      </w:r>
      <w:r w:rsidR="005F46C4">
        <w:rPr>
          <w:rFonts w:ascii="Arial" w:hAnsi="Arial" w:cs="Arial"/>
          <w:b/>
          <w:sz w:val="22"/>
          <w:szCs w:val="22"/>
        </w:rPr>
        <w:t>všech relevantních stran a z nich vyplývající závěry</w:t>
      </w:r>
      <w:r w:rsidR="002257A3">
        <w:rPr>
          <w:rFonts w:ascii="Arial" w:hAnsi="Arial" w:cs="Arial"/>
          <w:b/>
          <w:sz w:val="22"/>
          <w:szCs w:val="22"/>
        </w:rPr>
        <w:t>.</w:t>
      </w:r>
    </w:p>
    <w:p w14:paraId="1D787631" w14:textId="77777777" w:rsidR="00CE3BDF" w:rsidRDefault="00CE3BDF" w:rsidP="00952E1E">
      <w:pPr>
        <w:ind w:firstLine="357"/>
        <w:rPr>
          <w:rFonts w:ascii="Arial" w:hAnsi="Arial" w:cs="Arial"/>
          <w:i/>
          <w:sz w:val="22"/>
          <w:szCs w:val="22"/>
        </w:rPr>
      </w:pPr>
    </w:p>
    <w:p w14:paraId="09A4D93B" w14:textId="77777777" w:rsidR="00952E1E" w:rsidRDefault="00952E1E" w:rsidP="00952E1E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0146C962" w14:textId="77777777" w:rsidR="005F472B" w:rsidRDefault="005F472B" w:rsidP="00212DEE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7BC44A9" w14:textId="234AD3E4" w:rsidR="00D344AA" w:rsidRDefault="00B53254" w:rsidP="00A53FB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Evropská komise </w:t>
      </w:r>
      <w:r w:rsidR="001317B4">
        <w:rPr>
          <w:rFonts w:ascii="Arial" w:hAnsi="Arial" w:cs="Arial"/>
          <w:sz w:val="22"/>
          <w:szCs w:val="22"/>
        </w:rPr>
        <w:t xml:space="preserve">(dále jen „Komise“) </w:t>
      </w:r>
      <w:r>
        <w:rPr>
          <w:rFonts w:ascii="Arial" w:hAnsi="Arial" w:cs="Arial"/>
          <w:sz w:val="22"/>
          <w:szCs w:val="22"/>
        </w:rPr>
        <w:t xml:space="preserve">ve svém Rozhodnutí </w:t>
      </w:r>
      <w:r w:rsidRPr="00B53254">
        <w:rPr>
          <w:rFonts w:ascii="Arial" w:hAnsi="Arial" w:cs="Arial"/>
          <w:sz w:val="22"/>
          <w:szCs w:val="22"/>
        </w:rPr>
        <w:t>ve věci CZ/2019/2189: Velkoobchodní trh přístupu a původu volání ve veřejných mobilních telefonních sítích v České republice</w:t>
      </w:r>
      <w:r w:rsidR="00F37C01">
        <w:rPr>
          <w:rFonts w:ascii="Arial" w:hAnsi="Arial" w:cs="Arial"/>
          <w:sz w:val="22"/>
          <w:szCs w:val="22"/>
        </w:rPr>
        <w:t xml:space="preserve"> </w:t>
      </w:r>
      <w:r w:rsidR="002443D5">
        <w:rPr>
          <w:rFonts w:ascii="Arial" w:hAnsi="Arial" w:cs="Arial"/>
          <w:sz w:val="22"/>
          <w:szCs w:val="22"/>
        </w:rPr>
        <w:t xml:space="preserve">(dále jen „Rozhodnutí“) </w:t>
      </w:r>
      <w:r w:rsidR="00F37C01" w:rsidRPr="00F37C01">
        <w:rPr>
          <w:rFonts w:ascii="Arial" w:hAnsi="Arial" w:cs="Arial"/>
          <w:i/>
          <w:sz w:val="22"/>
          <w:szCs w:val="22"/>
        </w:rPr>
        <w:t>„naléhavě žádá, aby</w:t>
      </w:r>
      <w:r w:rsidR="005B37CC">
        <w:rPr>
          <w:rFonts w:ascii="Arial" w:hAnsi="Arial" w:cs="Arial"/>
          <w:i/>
          <w:sz w:val="22"/>
          <w:szCs w:val="22"/>
        </w:rPr>
        <w:t xml:space="preserve"> </w:t>
      </w:r>
      <w:r w:rsidR="003078E2" w:rsidRPr="003078E2">
        <w:rPr>
          <w:rFonts w:ascii="Arial" w:hAnsi="Arial" w:cs="Arial"/>
          <w:sz w:val="22"/>
          <w:szCs w:val="22"/>
          <w:lang w:val="en-US"/>
        </w:rPr>
        <w:t>[</w:t>
      </w:r>
      <w:r w:rsidR="003078E2" w:rsidRPr="003078E2">
        <w:rPr>
          <w:rFonts w:ascii="Arial" w:hAnsi="Arial" w:cs="Arial"/>
          <w:sz w:val="22"/>
          <w:szCs w:val="22"/>
        </w:rPr>
        <w:t>Český telekomunikační úřad</w:t>
      </w:r>
      <w:r w:rsidR="00CD1347">
        <w:rPr>
          <w:rFonts w:ascii="Arial" w:hAnsi="Arial" w:cs="Arial"/>
          <w:sz w:val="22"/>
          <w:szCs w:val="22"/>
        </w:rPr>
        <w:t xml:space="preserve"> (dále jen „ČTÚ“)</w:t>
      </w:r>
      <w:r w:rsidR="003078E2" w:rsidRPr="003078E2">
        <w:rPr>
          <w:rFonts w:ascii="Arial" w:hAnsi="Arial" w:cs="Arial"/>
          <w:sz w:val="22"/>
          <w:szCs w:val="22"/>
          <w:lang w:val="en-US"/>
        </w:rPr>
        <w:t>]</w:t>
      </w:r>
      <w:r w:rsidR="003078E2" w:rsidRPr="003078E2">
        <w:rPr>
          <w:rFonts w:ascii="Arial" w:hAnsi="Arial" w:cs="Arial"/>
          <w:sz w:val="22"/>
          <w:szCs w:val="22"/>
        </w:rPr>
        <w:t xml:space="preserve"> </w:t>
      </w:r>
      <w:r w:rsidR="00F37C01" w:rsidRPr="00F37C01">
        <w:rPr>
          <w:rFonts w:ascii="Arial" w:hAnsi="Arial" w:cs="Arial"/>
          <w:i/>
          <w:sz w:val="22"/>
          <w:szCs w:val="22"/>
        </w:rPr>
        <w:t>přehodnotil své závěry o potřebě regulovat tento trh na základě zjištění uvedených v tomto návrhu opatření a své rozhodnutí přijmout návrh opatření v jeho stávající podobě.</w:t>
      </w:r>
      <w:r w:rsidR="00221BA1">
        <w:rPr>
          <w:rFonts w:ascii="Arial" w:hAnsi="Arial" w:cs="Arial"/>
          <w:i/>
          <w:sz w:val="22"/>
          <w:szCs w:val="22"/>
        </w:rPr>
        <w:t>“</w:t>
      </w:r>
      <w:r w:rsidR="00351B3B">
        <w:rPr>
          <w:rFonts w:ascii="Arial" w:hAnsi="Arial" w:cs="Arial"/>
          <w:i/>
          <w:sz w:val="22"/>
          <w:szCs w:val="22"/>
        </w:rPr>
        <w:t xml:space="preserve"> </w:t>
      </w:r>
      <w:r w:rsidR="001317B4">
        <w:rPr>
          <w:rFonts w:ascii="Arial" w:hAnsi="Arial" w:cs="Arial"/>
          <w:sz w:val="22"/>
          <w:szCs w:val="22"/>
        </w:rPr>
        <w:t xml:space="preserve">Jak </w:t>
      </w:r>
      <w:r w:rsidR="00042764">
        <w:rPr>
          <w:rFonts w:ascii="Arial" w:hAnsi="Arial" w:cs="Arial"/>
          <w:sz w:val="22"/>
          <w:szCs w:val="22"/>
        </w:rPr>
        <w:t>také</w:t>
      </w:r>
      <w:r w:rsidR="00D90CE2">
        <w:rPr>
          <w:rFonts w:ascii="Arial" w:hAnsi="Arial" w:cs="Arial"/>
          <w:sz w:val="22"/>
          <w:szCs w:val="22"/>
        </w:rPr>
        <w:t xml:space="preserve"> </w:t>
      </w:r>
      <w:r w:rsidR="00EB7AC3">
        <w:rPr>
          <w:rFonts w:ascii="Arial" w:hAnsi="Arial" w:cs="Arial"/>
          <w:sz w:val="22"/>
          <w:szCs w:val="22"/>
        </w:rPr>
        <w:t xml:space="preserve">uvádí Komise ve svém rozhodnutí, </w:t>
      </w:r>
      <w:r w:rsidR="00D90CE2" w:rsidRPr="00D90CE2">
        <w:rPr>
          <w:rFonts w:ascii="Arial" w:hAnsi="Arial" w:cs="Arial"/>
          <w:i/>
          <w:sz w:val="22"/>
          <w:szCs w:val="22"/>
        </w:rPr>
        <w:t>„analýza testu tří kritérií nespadá do oblasti působnosti čl. 7 odst. 4 rámcové směrnice podle stávajícího regulačního rámce, a Komise tudíž není v tomto ohledu zmocněna vznést vážné pochybnosti.“</w:t>
      </w:r>
      <w:r w:rsidR="00042764">
        <w:rPr>
          <w:rFonts w:ascii="Arial" w:hAnsi="Arial" w:cs="Arial"/>
          <w:i/>
          <w:sz w:val="22"/>
          <w:szCs w:val="22"/>
        </w:rPr>
        <w:t xml:space="preserve">, </w:t>
      </w:r>
      <w:r w:rsidR="00042764" w:rsidRPr="00042764">
        <w:rPr>
          <w:rFonts w:ascii="Arial" w:hAnsi="Arial" w:cs="Arial"/>
          <w:sz w:val="22"/>
          <w:szCs w:val="22"/>
        </w:rPr>
        <w:t xml:space="preserve">zároveň </w:t>
      </w:r>
      <w:r w:rsidR="005B37CC">
        <w:rPr>
          <w:rFonts w:ascii="Arial" w:hAnsi="Arial" w:cs="Arial"/>
          <w:sz w:val="22"/>
          <w:szCs w:val="22"/>
        </w:rPr>
        <w:t xml:space="preserve">je </w:t>
      </w:r>
      <w:r w:rsidR="00042764" w:rsidRPr="00042764">
        <w:rPr>
          <w:rFonts w:ascii="Arial" w:hAnsi="Arial" w:cs="Arial"/>
          <w:sz w:val="22"/>
          <w:szCs w:val="22"/>
        </w:rPr>
        <w:t>však</w:t>
      </w:r>
      <w:r w:rsidR="00A53FB3">
        <w:rPr>
          <w:rFonts w:ascii="Arial" w:hAnsi="Arial" w:cs="Arial"/>
          <w:sz w:val="22"/>
          <w:szCs w:val="22"/>
        </w:rPr>
        <w:t xml:space="preserve"> </w:t>
      </w:r>
      <w:r w:rsidR="002A73AA">
        <w:rPr>
          <w:rFonts w:ascii="Arial" w:hAnsi="Arial" w:cs="Arial"/>
          <w:i/>
          <w:sz w:val="22"/>
          <w:szCs w:val="22"/>
        </w:rPr>
        <w:t>„</w:t>
      </w:r>
      <w:r w:rsidR="00F07892" w:rsidRPr="005B37CC">
        <w:rPr>
          <w:rFonts w:ascii="Arial" w:hAnsi="Arial" w:cs="Arial"/>
          <w:i/>
          <w:sz w:val="22"/>
          <w:szCs w:val="22"/>
        </w:rPr>
        <w:t xml:space="preserve">podle čl. 7 odst. 7 rámcové směrnice </w:t>
      </w:r>
      <w:r w:rsidR="002A73AA">
        <w:rPr>
          <w:rFonts w:ascii="Arial" w:hAnsi="Arial" w:cs="Arial"/>
          <w:i/>
          <w:sz w:val="22"/>
          <w:szCs w:val="22"/>
        </w:rPr>
        <w:t xml:space="preserve">ČTÚ </w:t>
      </w:r>
      <w:r w:rsidR="00F07892" w:rsidRPr="005B37CC">
        <w:rPr>
          <w:rFonts w:ascii="Arial" w:hAnsi="Arial" w:cs="Arial"/>
          <w:i/>
          <w:sz w:val="22"/>
          <w:szCs w:val="22"/>
        </w:rPr>
        <w:t>povinen v co nejvyšší míře zohlednit připomínky ostatních vnitrostátních regulačních orgánů, sdružení BEREC a Komise a může přijmout konečný návrh opatření; v takovém případě jej sdělí Komisi.</w:t>
      </w:r>
      <w:r w:rsidR="00786267">
        <w:rPr>
          <w:rFonts w:ascii="Arial" w:hAnsi="Arial" w:cs="Arial"/>
          <w:i/>
          <w:sz w:val="22"/>
          <w:szCs w:val="22"/>
        </w:rPr>
        <w:t>“</w:t>
      </w:r>
      <w:r w:rsidR="002443D5">
        <w:rPr>
          <w:rStyle w:val="Znakapoznpodarou"/>
          <w:rFonts w:ascii="Arial" w:hAnsi="Arial" w:cs="Arial"/>
          <w:i/>
          <w:sz w:val="22"/>
          <w:szCs w:val="22"/>
        </w:rPr>
        <w:footnoteReference w:id="1"/>
      </w:r>
    </w:p>
    <w:p w14:paraId="2F5F5DF5" w14:textId="78A45C2A" w:rsidR="00786267" w:rsidRDefault="00786267" w:rsidP="00A53FB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EA67BE7" w14:textId="6AD918AA" w:rsidR="00192A9C" w:rsidRDefault="00960ACB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O2 </w:t>
      </w:r>
      <w:r w:rsidR="00F373C8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předně </w:t>
      </w:r>
      <w:r w:rsidR="00F373C8">
        <w:rPr>
          <w:rFonts w:ascii="Arial" w:hAnsi="Arial" w:cs="Arial"/>
          <w:sz w:val="22"/>
          <w:szCs w:val="22"/>
        </w:rPr>
        <w:t>ohrazuje proti</w:t>
      </w:r>
      <w:r>
        <w:rPr>
          <w:rFonts w:ascii="Arial" w:hAnsi="Arial" w:cs="Arial"/>
          <w:sz w:val="22"/>
          <w:szCs w:val="22"/>
        </w:rPr>
        <w:t xml:space="preserve"> </w:t>
      </w:r>
      <w:r w:rsidR="006A665A">
        <w:rPr>
          <w:rFonts w:ascii="Arial" w:hAnsi="Arial" w:cs="Arial"/>
          <w:sz w:val="22"/>
          <w:szCs w:val="22"/>
        </w:rPr>
        <w:t>zavádějící</w:t>
      </w:r>
      <w:r w:rsidR="00F373C8">
        <w:rPr>
          <w:rFonts w:ascii="Arial" w:hAnsi="Arial" w:cs="Arial"/>
          <w:sz w:val="22"/>
          <w:szCs w:val="22"/>
        </w:rPr>
        <w:t>m</w:t>
      </w:r>
      <w:r w:rsidR="006A665A">
        <w:rPr>
          <w:rFonts w:ascii="Arial" w:hAnsi="Arial" w:cs="Arial"/>
          <w:sz w:val="22"/>
          <w:szCs w:val="22"/>
        </w:rPr>
        <w:t xml:space="preserve"> informac</w:t>
      </w:r>
      <w:r w:rsidR="00F373C8">
        <w:rPr>
          <w:rFonts w:ascii="Arial" w:hAnsi="Arial" w:cs="Arial"/>
          <w:sz w:val="22"/>
          <w:szCs w:val="22"/>
        </w:rPr>
        <w:t>ím</w:t>
      </w:r>
      <w:r w:rsidR="006A665A">
        <w:rPr>
          <w:rFonts w:ascii="Arial" w:hAnsi="Arial" w:cs="Arial"/>
          <w:sz w:val="22"/>
          <w:szCs w:val="22"/>
        </w:rPr>
        <w:t xml:space="preserve">, které </w:t>
      </w:r>
      <w:r w:rsidR="00F373C8">
        <w:rPr>
          <w:rFonts w:ascii="Arial" w:hAnsi="Arial" w:cs="Arial"/>
          <w:sz w:val="22"/>
          <w:szCs w:val="22"/>
        </w:rPr>
        <w:t>zástupci</w:t>
      </w:r>
      <w:r w:rsidR="006A665A">
        <w:rPr>
          <w:rFonts w:ascii="Arial" w:hAnsi="Arial" w:cs="Arial"/>
          <w:sz w:val="22"/>
          <w:szCs w:val="22"/>
        </w:rPr>
        <w:t xml:space="preserve"> ČTÚ veřejně </w:t>
      </w:r>
      <w:r w:rsidR="00F0169A">
        <w:rPr>
          <w:rFonts w:ascii="Arial" w:hAnsi="Arial" w:cs="Arial"/>
          <w:sz w:val="22"/>
          <w:szCs w:val="22"/>
        </w:rPr>
        <w:t>prezentují veřejnosti prostřednictvím médií</w:t>
      </w:r>
      <w:r w:rsidR="006A665A">
        <w:rPr>
          <w:rFonts w:ascii="Arial" w:hAnsi="Arial" w:cs="Arial"/>
          <w:sz w:val="22"/>
          <w:szCs w:val="22"/>
        </w:rPr>
        <w:t xml:space="preserve">. </w:t>
      </w:r>
      <w:r w:rsidR="00DB600D">
        <w:rPr>
          <w:rFonts w:ascii="Arial" w:hAnsi="Arial" w:cs="Arial"/>
          <w:sz w:val="22"/>
          <w:szCs w:val="22"/>
        </w:rPr>
        <w:t xml:space="preserve">Dne 24. července 2019 například vyšel článek, ve kterém </w:t>
      </w:r>
      <w:r w:rsidR="00080E65">
        <w:rPr>
          <w:rFonts w:ascii="Arial" w:hAnsi="Arial" w:cs="Arial"/>
          <w:sz w:val="22"/>
          <w:szCs w:val="22"/>
        </w:rPr>
        <w:t xml:space="preserve">předseda Rady ČTÚ tvrdí, že </w:t>
      </w:r>
      <w:r w:rsidR="00080E65" w:rsidRPr="007C21FB">
        <w:rPr>
          <w:rFonts w:ascii="Arial" w:hAnsi="Arial" w:cs="Arial"/>
          <w:i/>
          <w:sz w:val="22"/>
          <w:szCs w:val="22"/>
        </w:rPr>
        <w:t>„</w:t>
      </w:r>
      <w:r w:rsidR="007C21FB" w:rsidRPr="007C21FB">
        <w:rPr>
          <w:rFonts w:ascii="Arial" w:hAnsi="Arial" w:cs="Arial"/>
          <w:i/>
          <w:sz w:val="22"/>
          <w:szCs w:val="22"/>
        </w:rPr>
        <w:t>Komise ve svém rozhodnutí má zásadní připomínky, ale pochybnosti nejsou tak vážné, aby zahájila tzv. druhou fázi, protože by nepovažovala kroky ČTÚ za slučitelné s vnitřním trhem a právem EU,“</w:t>
      </w:r>
      <w:r w:rsidR="007C21FB">
        <w:rPr>
          <w:rFonts w:ascii="Arial" w:hAnsi="Arial" w:cs="Arial"/>
          <w:i/>
          <w:sz w:val="22"/>
          <w:szCs w:val="22"/>
        </w:rPr>
        <w:t>.</w:t>
      </w:r>
      <w:r w:rsidR="002833BD">
        <w:rPr>
          <w:rStyle w:val="Znakapoznpodarou"/>
          <w:rFonts w:ascii="Arial" w:hAnsi="Arial" w:cs="Arial"/>
          <w:i/>
          <w:sz w:val="22"/>
          <w:szCs w:val="22"/>
        </w:rPr>
        <w:footnoteReference w:id="2"/>
      </w:r>
      <w:r w:rsidR="007C21FB">
        <w:rPr>
          <w:rFonts w:ascii="Arial" w:hAnsi="Arial" w:cs="Arial"/>
          <w:i/>
          <w:sz w:val="22"/>
          <w:szCs w:val="22"/>
        </w:rPr>
        <w:t xml:space="preserve"> </w:t>
      </w:r>
      <w:r w:rsidR="00D72C00">
        <w:rPr>
          <w:rFonts w:ascii="Arial" w:hAnsi="Arial" w:cs="Arial"/>
          <w:sz w:val="22"/>
          <w:szCs w:val="22"/>
        </w:rPr>
        <w:t xml:space="preserve">Také v samotném návrhu </w:t>
      </w:r>
      <w:r w:rsidR="009C44E2" w:rsidRPr="009C44E2">
        <w:rPr>
          <w:rFonts w:ascii="Arial" w:hAnsi="Arial" w:cs="Arial"/>
          <w:sz w:val="22"/>
          <w:szCs w:val="22"/>
        </w:rPr>
        <w:t>opatření obecné povahy č. OOP/1/XX.2019-Y,</w:t>
      </w:r>
      <w:r w:rsidR="009C44E2">
        <w:rPr>
          <w:rFonts w:ascii="Arial" w:hAnsi="Arial" w:cs="Arial"/>
          <w:sz w:val="22"/>
          <w:szCs w:val="22"/>
        </w:rPr>
        <w:t xml:space="preserve"> </w:t>
      </w:r>
      <w:r w:rsidR="009C44E2" w:rsidRPr="009C44E2">
        <w:rPr>
          <w:rFonts w:ascii="Arial" w:hAnsi="Arial" w:cs="Arial"/>
          <w:sz w:val="22"/>
          <w:szCs w:val="22"/>
        </w:rPr>
        <w:t>kterým se mění opatření obecné povahy č.</w:t>
      </w:r>
      <w:r w:rsidR="00470BFA">
        <w:rPr>
          <w:rFonts w:ascii="Arial" w:hAnsi="Arial" w:cs="Arial"/>
          <w:sz w:val="22"/>
          <w:szCs w:val="22"/>
        </w:rPr>
        <w:t> </w:t>
      </w:r>
      <w:r w:rsidR="009C44E2" w:rsidRPr="009C44E2">
        <w:rPr>
          <w:rFonts w:ascii="Arial" w:hAnsi="Arial" w:cs="Arial"/>
          <w:sz w:val="22"/>
          <w:szCs w:val="22"/>
        </w:rPr>
        <w:t>OOP/1/04.2015-2,</w:t>
      </w:r>
      <w:r w:rsidR="009C44E2">
        <w:rPr>
          <w:rFonts w:ascii="Arial" w:hAnsi="Arial" w:cs="Arial"/>
          <w:sz w:val="22"/>
          <w:szCs w:val="22"/>
        </w:rPr>
        <w:t xml:space="preserve"> </w:t>
      </w:r>
      <w:r w:rsidR="009C44E2" w:rsidRPr="009C44E2">
        <w:rPr>
          <w:rFonts w:ascii="Arial" w:hAnsi="Arial" w:cs="Arial"/>
          <w:sz w:val="22"/>
          <w:szCs w:val="22"/>
        </w:rPr>
        <w:t>kterým se stanoví relevantní trhy v oboru elektronických komunikací, včetně kritérií pro hodnocení významné tržní síly</w:t>
      </w:r>
      <w:r w:rsidR="00470BFA">
        <w:rPr>
          <w:rFonts w:ascii="Arial" w:hAnsi="Arial" w:cs="Arial"/>
          <w:sz w:val="22"/>
          <w:szCs w:val="22"/>
        </w:rPr>
        <w:t xml:space="preserve"> (dále jen „OOP“) ČTÚ tvrdí, že </w:t>
      </w:r>
      <w:r w:rsidR="00084C2D" w:rsidRPr="00084C2D">
        <w:rPr>
          <w:rFonts w:ascii="Arial" w:hAnsi="Arial" w:cs="Arial"/>
          <w:i/>
          <w:sz w:val="22"/>
          <w:szCs w:val="22"/>
        </w:rPr>
        <w:t>„</w:t>
      </w:r>
      <w:r w:rsidR="00084C2D" w:rsidRPr="00084C2D">
        <w:rPr>
          <w:rFonts w:ascii="Arial" w:hAnsi="Arial" w:cs="Arial"/>
          <w:i/>
          <w:sz w:val="22"/>
          <w:szCs w:val="22"/>
          <w:lang w:val="en-US"/>
        </w:rPr>
        <w:t>[</w:t>
      </w:r>
      <w:r w:rsidR="00084C2D" w:rsidRPr="00E97EDC">
        <w:rPr>
          <w:rFonts w:ascii="Arial" w:hAnsi="Arial" w:cs="Arial"/>
          <w:i/>
          <w:sz w:val="22"/>
          <w:szCs w:val="22"/>
        </w:rPr>
        <w:t>Komise</w:t>
      </w:r>
      <w:r w:rsidR="00084C2D" w:rsidRPr="00084C2D">
        <w:rPr>
          <w:rFonts w:ascii="Arial" w:hAnsi="Arial" w:cs="Arial"/>
          <w:i/>
          <w:sz w:val="22"/>
          <w:szCs w:val="22"/>
          <w:lang w:val="en-US"/>
        </w:rPr>
        <w:t>]</w:t>
      </w:r>
      <w:r w:rsidR="00084C2D">
        <w:rPr>
          <w:rFonts w:ascii="Arial" w:hAnsi="Arial" w:cs="Arial"/>
          <w:sz w:val="22"/>
          <w:szCs w:val="22"/>
        </w:rPr>
        <w:t xml:space="preserve"> </w:t>
      </w:r>
      <w:r w:rsidR="00084C2D" w:rsidRPr="00084C2D">
        <w:rPr>
          <w:rFonts w:ascii="Arial" w:hAnsi="Arial" w:cs="Arial"/>
          <w:i/>
          <w:sz w:val="22"/>
          <w:szCs w:val="22"/>
        </w:rPr>
        <w:t>ponechala Úřadu právo přijmout</w:t>
      </w:r>
      <w:r w:rsidR="00C555DE" w:rsidRPr="00C555DE">
        <w:t xml:space="preserve"> </w:t>
      </w:r>
      <w:r w:rsidR="00C555DE" w:rsidRPr="00C555DE">
        <w:rPr>
          <w:rFonts w:ascii="Arial" w:hAnsi="Arial" w:cs="Arial"/>
          <w:i/>
          <w:sz w:val="22"/>
          <w:szCs w:val="22"/>
        </w:rPr>
        <w:t>po zohlednění připomínek EK, konečný návrh opatření</w:t>
      </w:r>
      <w:r w:rsidR="00084C2D" w:rsidRPr="00084C2D">
        <w:rPr>
          <w:rFonts w:ascii="Arial" w:hAnsi="Arial" w:cs="Arial"/>
          <w:i/>
          <w:sz w:val="22"/>
          <w:szCs w:val="22"/>
        </w:rPr>
        <w:t>“</w:t>
      </w:r>
      <w:r w:rsidR="002833BD">
        <w:rPr>
          <w:rFonts w:ascii="Arial" w:hAnsi="Arial" w:cs="Arial"/>
          <w:i/>
          <w:sz w:val="22"/>
          <w:szCs w:val="22"/>
        </w:rPr>
        <w:t xml:space="preserve">. </w:t>
      </w:r>
      <w:r w:rsidR="002833BD">
        <w:rPr>
          <w:rFonts w:ascii="Arial" w:hAnsi="Arial" w:cs="Arial"/>
          <w:sz w:val="22"/>
          <w:szCs w:val="22"/>
        </w:rPr>
        <w:t xml:space="preserve">Tato prohlášení a tvrzení </w:t>
      </w:r>
      <w:r w:rsidR="00F373C8">
        <w:rPr>
          <w:rFonts w:ascii="Arial" w:hAnsi="Arial" w:cs="Arial"/>
          <w:sz w:val="22"/>
          <w:szCs w:val="22"/>
        </w:rPr>
        <w:t xml:space="preserve">jsou </w:t>
      </w:r>
      <w:r w:rsidR="00880207">
        <w:rPr>
          <w:rFonts w:ascii="Arial" w:hAnsi="Arial" w:cs="Arial"/>
          <w:sz w:val="22"/>
          <w:szCs w:val="22"/>
        </w:rPr>
        <w:t>přinejmenším zavádějící, jak vyplývá z výše uvedených stanovisek Komise v jejím Rozhodnutí.</w:t>
      </w:r>
      <w:r w:rsidR="008D21BF">
        <w:rPr>
          <w:rFonts w:ascii="Arial" w:hAnsi="Arial" w:cs="Arial"/>
          <w:sz w:val="22"/>
          <w:szCs w:val="22"/>
        </w:rPr>
        <w:t xml:space="preserve"> </w:t>
      </w:r>
      <w:r w:rsidR="00192A9C" w:rsidRPr="00863187">
        <w:rPr>
          <w:rFonts w:ascii="Arial" w:hAnsi="Arial" w:cs="Arial"/>
          <w:b/>
          <w:sz w:val="22"/>
          <w:szCs w:val="22"/>
        </w:rPr>
        <w:t xml:space="preserve">Komise </w:t>
      </w:r>
      <w:r w:rsidR="0055117B" w:rsidRPr="00863187">
        <w:rPr>
          <w:rFonts w:ascii="Arial" w:hAnsi="Arial" w:cs="Arial"/>
          <w:b/>
          <w:sz w:val="22"/>
          <w:szCs w:val="22"/>
        </w:rPr>
        <w:t xml:space="preserve">již nemohla jednoznačněji </w:t>
      </w:r>
      <w:r w:rsidR="0055117B" w:rsidRPr="00863187">
        <w:rPr>
          <w:rFonts w:ascii="Arial" w:hAnsi="Arial" w:cs="Arial"/>
          <w:b/>
          <w:sz w:val="22"/>
          <w:szCs w:val="22"/>
        </w:rPr>
        <w:lastRenderedPageBreak/>
        <w:t>vyjádřit, že k</w:t>
      </w:r>
      <w:r w:rsidR="00FF6E9B" w:rsidRPr="00863187">
        <w:rPr>
          <w:rFonts w:ascii="Arial" w:hAnsi="Arial" w:cs="Arial"/>
          <w:b/>
          <w:sz w:val="22"/>
          <w:szCs w:val="22"/>
        </w:rPr>
        <w:t> zastavení procesu, vrácení návrhu k přepracování či zahájení tzv. druhé fáze</w:t>
      </w:r>
      <w:r w:rsidR="00822DEE" w:rsidRPr="00863187">
        <w:rPr>
          <w:rFonts w:ascii="Arial" w:hAnsi="Arial" w:cs="Arial"/>
          <w:b/>
          <w:sz w:val="22"/>
          <w:szCs w:val="22"/>
        </w:rPr>
        <w:t xml:space="preserve">, nemá </w:t>
      </w:r>
      <w:r w:rsidR="00711519" w:rsidRPr="00863187">
        <w:rPr>
          <w:rFonts w:ascii="Arial" w:hAnsi="Arial" w:cs="Arial"/>
          <w:b/>
          <w:sz w:val="22"/>
          <w:szCs w:val="22"/>
        </w:rPr>
        <w:t>v případě testu tří kritérií dle v </w:t>
      </w:r>
      <w:r w:rsidR="00822DEE" w:rsidRPr="00863187">
        <w:rPr>
          <w:rFonts w:ascii="Arial" w:hAnsi="Arial" w:cs="Arial"/>
          <w:b/>
          <w:sz w:val="22"/>
          <w:szCs w:val="22"/>
        </w:rPr>
        <w:t>současn</w:t>
      </w:r>
      <w:r w:rsidR="00711519" w:rsidRPr="00863187">
        <w:rPr>
          <w:rFonts w:ascii="Arial" w:hAnsi="Arial" w:cs="Arial"/>
          <w:b/>
          <w:sz w:val="22"/>
          <w:szCs w:val="22"/>
        </w:rPr>
        <w:t>osti platných</w:t>
      </w:r>
      <w:r w:rsidR="00822DEE" w:rsidRPr="00863187">
        <w:rPr>
          <w:rFonts w:ascii="Arial" w:hAnsi="Arial" w:cs="Arial"/>
          <w:b/>
          <w:sz w:val="22"/>
          <w:szCs w:val="22"/>
        </w:rPr>
        <w:t xml:space="preserve"> </w:t>
      </w:r>
      <w:r w:rsidR="00090E03" w:rsidRPr="00863187">
        <w:rPr>
          <w:rFonts w:ascii="Arial" w:hAnsi="Arial" w:cs="Arial"/>
          <w:b/>
          <w:sz w:val="22"/>
          <w:szCs w:val="22"/>
        </w:rPr>
        <w:t>evropských právních předpisů zmocnění</w:t>
      </w:r>
      <w:r w:rsidR="00BE4B2B" w:rsidRPr="00863187">
        <w:rPr>
          <w:rFonts w:ascii="Arial" w:hAnsi="Arial" w:cs="Arial"/>
          <w:b/>
          <w:sz w:val="22"/>
          <w:szCs w:val="22"/>
        </w:rPr>
        <w:t>, ale pokud by ho měla</w:t>
      </w:r>
      <w:r w:rsidR="00711519" w:rsidRPr="00863187">
        <w:rPr>
          <w:rFonts w:ascii="Arial" w:hAnsi="Arial" w:cs="Arial"/>
          <w:b/>
          <w:sz w:val="22"/>
          <w:szCs w:val="22"/>
        </w:rPr>
        <w:t>,</w:t>
      </w:r>
      <w:r w:rsidR="00BE4B2B" w:rsidRPr="00863187">
        <w:rPr>
          <w:rFonts w:ascii="Arial" w:hAnsi="Arial" w:cs="Arial"/>
          <w:b/>
          <w:sz w:val="22"/>
          <w:szCs w:val="22"/>
        </w:rPr>
        <w:t xml:space="preserve"> jeden z těchto kroků by </w:t>
      </w:r>
      <w:r w:rsidR="00711519" w:rsidRPr="00863187">
        <w:rPr>
          <w:rFonts w:ascii="Arial" w:hAnsi="Arial" w:cs="Arial"/>
          <w:b/>
          <w:sz w:val="22"/>
          <w:szCs w:val="22"/>
        </w:rPr>
        <w:t xml:space="preserve">byla nucena </w:t>
      </w:r>
      <w:r w:rsidR="00BE4B2B" w:rsidRPr="00863187">
        <w:rPr>
          <w:rFonts w:ascii="Arial" w:hAnsi="Arial" w:cs="Arial"/>
          <w:b/>
          <w:sz w:val="22"/>
          <w:szCs w:val="22"/>
        </w:rPr>
        <w:t>učin</w:t>
      </w:r>
      <w:r w:rsidR="00711519" w:rsidRPr="00863187">
        <w:rPr>
          <w:rFonts w:ascii="Arial" w:hAnsi="Arial" w:cs="Arial"/>
          <w:b/>
          <w:sz w:val="22"/>
          <w:szCs w:val="22"/>
        </w:rPr>
        <w:t>it</w:t>
      </w:r>
      <w:r w:rsidR="00BE4B2B" w:rsidRPr="00863187">
        <w:rPr>
          <w:rFonts w:ascii="Arial" w:hAnsi="Arial" w:cs="Arial"/>
          <w:b/>
          <w:sz w:val="22"/>
          <w:szCs w:val="22"/>
        </w:rPr>
        <w:t>.</w:t>
      </w:r>
      <w:r w:rsidR="00BE4B2B">
        <w:rPr>
          <w:rFonts w:ascii="Arial" w:hAnsi="Arial" w:cs="Arial"/>
          <w:sz w:val="22"/>
          <w:szCs w:val="22"/>
        </w:rPr>
        <w:t xml:space="preserve"> </w:t>
      </w:r>
      <w:r w:rsidR="00D4003B">
        <w:rPr>
          <w:rFonts w:ascii="Arial" w:hAnsi="Arial" w:cs="Arial"/>
          <w:sz w:val="22"/>
          <w:szCs w:val="22"/>
        </w:rPr>
        <w:t xml:space="preserve">Zlehčovat Rozhodnutí Komise výše uvedeným způsobem z tohoto důvodu považujeme za velmi zavádějící </w:t>
      </w:r>
      <w:r w:rsidR="00711519">
        <w:rPr>
          <w:rFonts w:ascii="Arial" w:hAnsi="Arial" w:cs="Arial"/>
          <w:sz w:val="22"/>
          <w:szCs w:val="22"/>
        </w:rPr>
        <w:t>až nepravdivé.</w:t>
      </w:r>
    </w:p>
    <w:p w14:paraId="259429A5" w14:textId="20C59EE6" w:rsidR="00BE5EB4" w:rsidRDefault="00BE5EB4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6DB093" w14:textId="03B2393F" w:rsidR="00BE5EB4" w:rsidRPr="0008580A" w:rsidRDefault="004B5407" w:rsidP="006A6F12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Komise ve svém Rozhodnutí </w:t>
      </w:r>
      <w:r w:rsidR="00AC3E8D">
        <w:rPr>
          <w:rFonts w:ascii="Arial" w:hAnsi="Arial" w:cs="Arial"/>
          <w:sz w:val="22"/>
          <w:szCs w:val="22"/>
        </w:rPr>
        <w:t xml:space="preserve">uvádí, že </w:t>
      </w:r>
      <w:r w:rsidR="006A6F12" w:rsidRPr="006A6F12">
        <w:rPr>
          <w:rFonts w:ascii="Arial" w:hAnsi="Arial" w:cs="Arial"/>
          <w:i/>
          <w:sz w:val="22"/>
          <w:szCs w:val="22"/>
        </w:rPr>
        <w:t>„oznámený návrh opatření neposkytuje dostatečné důkazy o tom, že všechna tři kritéria jsou splněna kumulativně a že trh připadá v úvahu pro regulaci ex ante.“</w:t>
      </w:r>
      <w:r w:rsidR="00826B76">
        <w:rPr>
          <w:rFonts w:ascii="Arial" w:hAnsi="Arial" w:cs="Arial"/>
          <w:sz w:val="22"/>
          <w:szCs w:val="22"/>
        </w:rPr>
        <w:t>, čímž shrnuje svá zjištění o provedeném testu tří kritérií.</w:t>
      </w:r>
      <w:r w:rsidR="00A60E33">
        <w:rPr>
          <w:rFonts w:ascii="Arial" w:hAnsi="Arial" w:cs="Arial"/>
          <w:sz w:val="22"/>
          <w:szCs w:val="22"/>
        </w:rPr>
        <w:t xml:space="preserve"> </w:t>
      </w:r>
      <w:r w:rsidR="00DC2E6A">
        <w:rPr>
          <w:rFonts w:ascii="Arial" w:hAnsi="Arial" w:cs="Arial"/>
          <w:sz w:val="22"/>
          <w:szCs w:val="22"/>
        </w:rPr>
        <w:t xml:space="preserve">Komise svým vyjádřením dala jednoznačně najevo, jakým způsobem by měl ČTÚ v dalších krocích postupovat. </w:t>
      </w:r>
      <w:r w:rsidR="00A60E33" w:rsidRPr="00DC2E6A">
        <w:rPr>
          <w:rFonts w:ascii="Arial" w:hAnsi="Arial" w:cs="Arial"/>
          <w:b/>
          <w:sz w:val="22"/>
          <w:szCs w:val="22"/>
        </w:rPr>
        <w:t>ČTÚ měl na základě tohoto rozhodnutí přistoupit k</w:t>
      </w:r>
      <w:r w:rsidR="006E3CC2" w:rsidRPr="00DC2E6A">
        <w:rPr>
          <w:rFonts w:ascii="Arial" w:hAnsi="Arial" w:cs="Arial"/>
          <w:b/>
          <w:sz w:val="22"/>
          <w:szCs w:val="22"/>
        </w:rPr>
        <w:t xml:space="preserve"> novému </w:t>
      </w:r>
      <w:r w:rsidR="00A60E33" w:rsidRPr="00DC2E6A">
        <w:rPr>
          <w:rFonts w:ascii="Arial" w:hAnsi="Arial" w:cs="Arial"/>
          <w:b/>
          <w:sz w:val="22"/>
          <w:szCs w:val="22"/>
        </w:rPr>
        <w:t>provedení testu tří kritérií</w:t>
      </w:r>
      <w:r w:rsidR="00290EB3" w:rsidRPr="00DC2E6A">
        <w:rPr>
          <w:rFonts w:ascii="Arial" w:hAnsi="Arial" w:cs="Arial"/>
          <w:b/>
          <w:sz w:val="22"/>
          <w:szCs w:val="22"/>
        </w:rPr>
        <w:t xml:space="preserve">, ve kterém </w:t>
      </w:r>
      <w:r w:rsidR="00B87615" w:rsidRPr="00DC2E6A">
        <w:rPr>
          <w:rFonts w:ascii="Arial" w:hAnsi="Arial" w:cs="Arial"/>
          <w:b/>
          <w:sz w:val="22"/>
          <w:szCs w:val="22"/>
        </w:rPr>
        <w:t>by v co nejvyšší míře zohledni</w:t>
      </w:r>
      <w:r w:rsidR="005A3E41">
        <w:rPr>
          <w:rFonts w:ascii="Arial" w:hAnsi="Arial" w:cs="Arial"/>
          <w:b/>
          <w:sz w:val="22"/>
          <w:szCs w:val="22"/>
        </w:rPr>
        <w:t>l</w:t>
      </w:r>
      <w:r w:rsidR="00B87615" w:rsidRPr="00DC2E6A">
        <w:rPr>
          <w:rFonts w:ascii="Arial" w:hAnsi="Arial" w:cs="Arial"/>
          <w:b/>
          <w:sz w:val="22"/>
          <w:szCs w:val="22"/>
        </w:rPr>
        <w:t xml:space="preserve"> připomínky</w:t>
      </w:r>
      <w:r w:rsidR="003E331F" w:rsidRPr="00DC2E6A">
        <w:rPr>
          <w:rFonts w:ascii="Arial" w:hAnsi="Arial" w:cs="Arial"/>
          <w:b/>
          <w:sz w:val="22"/>
          <w:szCs w:val="22"/>
        </w:rPr>
        <w:t xml:space="preserve"> tržních subjektů</w:t>
      </w:r>
      <w:r w:rsidR="00B53D4D" w:rsidRPr="00DC2E6A">
        <w:rPr>
          <w:rFonts w:ascii="Arial" w:hAnsi="Arial" w:cs="Arial"/>
          <w:b/>
          <w:sz w:val="22"/>
          <w:szCs w:val="22"/>
        </w:rPr>
        <w:t>, ostatních vnitrostátních regulačních orgánů a Komise.</w:t>
      </w:r>
      <w:r w:rsidR="00B53D4D">
        <w:rPr>
          <w:rFonts w:ascii="Arial" w:hAnsi="Arial" w:cs="Arial"/>
          <w:sz w:val="22"/>
          <w:szCs w:val="22"/>
        </w:rPr>
        <w:t xml:space="preserve"> Společnost O2 je přesvědčena, </w:t>
      </w:r>
      <w:r w:rsidR="0044797A">
        <w:rPr>
          <w:rFonts w:ascii="Arial" w:hAnsi="Arial" w:cs="Arial"/>
          <w:sz w:val="22"/>
          <w:szCs w:val="22"/>
        </w:rPr>
        <w:t xml:space="preserve">že ČTÚ tomu dosud v celém procesu, tedy včetně veřejné konzultace k předběžné analýze </w:t>
      </w:r>
      <w:r w:rsidR="00DE1A00" w:rsidRPr="00DE1A00">
        <w:rPr>
          <w:rFonts w:ascii="Arial" w:hAnsi="Arial" w:cs="Arial"/>
          <w:sz w:val="22"/>
          <w:szCs w:val="22"/>
        </w:rPr>
        <w:t>velkoobchodního trhu mobilních služeb</w:t>
      </w:r>
      <w:r w:rsidR="00DE1A00">
        <w:rPr>
          <w:rFonts w:ascii="Arial" w:hAnsi="Arial" w:cs="Arial"/>
          <w:sz w:val="22"/>
          <w:szCs w:val="22"/>
        </w:rPr>
        <w:t xml:space="preserve">, neučinil a vypořádání připomínek neodpovídalo </w:t>
      </w:r>
      <w:r w:rsidR="004C3CBE">
        <w:rPr>
          <w:rFonts w:ascii="Arial" w:hAnsi="Arial" w:cs="Arial"/>
          <w:sz w:val="22"/>
          <w:szCs w:val="22"/>
        </w:rPr>
        <w:t xml:space="preserve">objektivnímu a často ani věcnému posouzení a vypořádání došlých připomínek. </w:t>
      </w:r>
      <w:r w:rsidR="00F56B29" w:rsidRPr="0008580A">
        <w:rPr>
          <w:rFonts w:ascii="Arial" w:hAnsi="Arial" w:cs="Arial"/>
          <w:b/>
          <w:sz w:val="22"/>
          <w:szCs w:val="22"/>
          <w:u w:val="single"/>
        </w:rPr>
        <w:t xml:space="preserve">Vypořádání, které vykazuje zásadní znaky ideologického odmítání </w:t>
      </w:r>
      <w:r w:rsidR="000632AB" w:rsidRPr="0008580A">
        <w:rPr>
          <w:rFonts w:ascii="Arial" w:hAnsi="Arial" w:cs="Arial"/>
          <w:b/>
          <w:sz w:val="22"/>
          <w:szCs w:val="22"/>
          <w:u w:val="single"/>
        </w:rPr>
        <w:t xml:space="preserve">věcných připomínek </w:t>
      </w:r>
      <w:r w:rsidR="00B37C5F" w:rsidRPr="0008580A">
        <w:rPr>
          <w:rFonts w:ascii="Arial" w:hAnsi="Arial" w:cs="Arial"/>
          <w:b/>
          <w:sz w:val="22"/>
          <w:szCs w:val="22"/>
          <w:u w:val="single"/>
        </w:rPr>
        <w:t xml:space="preserve">z důvodu </w:t>
      </w:r>
      <w:r w:rsidR="00847974" w:rsidRPr="0008580A">
        <w:rPr>
          <w:rFonts w:ascii="Arial" w:hAnsi="Arial" w:cs="Arial"/>
          <w:b/>
          <w:sz w:val="22"/>
          <w:szCs w:val="22"/>
          <w:u w:val="single"/>
        </w:rPr>
        <w:t xml:space="preserve">předem </w:t>
      </w:r>
      <w:r w:rsidR="00D233F1" w:rsidRPr="0008580A">
        <w:rPr>
          <w:rFonts w:ascii="Arial" w:hAnsi="Arial" w:cs="Arial"/>
          <w:b/>
          <w:sz w:val="22"/>
          <w:szCs w:val="22"/>
          <w:u w:val="single"/>
        </w:rPr>
        <w:t>vymezeného</w:t>
      </w:r>
      <w:r w:rsidR="00847974" w:rsidRPr="0008580A">
        <w:rPr>
          <w:rFonts w:ascii="Arial" w:hAnsi="Arial" w:cs="Arial"/>
          <w:b/>
          <w:sz w:val="22"/>
          <w:szCs w:val="22"/>
          <w:u w:val="single"/>
        </w:rPr>
        <w:t xml:space="preserve"> výsledku</w:t>
      </w:r>
      <w:r w:rsidR="007B5DDA">
        <w:rPr>
          <w:rFonts w:ascii="Arial" w:hAnsi="Arial" w:cs="Arial"/>
          <w:b/>
          <w:sz w:val="22"/>
          <w:szCs w:val="22"/>
          <w:u w:val="single"/>
        </w:rPr>
        <w:t>,</w:t>
      </w:r>
      <w:r w:rsidR="00847974" w:rsidRPr="0008580A">
        <w:rPr>
          <w:rFonts w:ascii="Arial" w:hAnsi="Arial" w:cs="Arial"/>
          <w:b/>
          <w:sz w:val="22"/>
          <w:szCs w:val="22"/>
          <w:u w:val="single"/>
        </w:rPr>
        <w:t xml:space="preserve"> je nepřijatelné.</w:t>
      </w:r>
    </w:p>
    <w:p w14:paraId="4ED5859D" w14:textId="7073B3AB" w:rsidR="00711519" w:rsidRDefault="00711519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1C0ACF2" w14:textId="3B1EF113" w:rsidR="00711519" w:rsidRDefault="000C54EA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společnost O2 upozorňovala již v připomínkách k samotnému testu tří kritérií</w:t>
      </w:r>
      <w:r w:rsidR="0031779E">
        <w:rPr>
          <w:rFonts w:ascii="Arial" w:hAnsi="Arial" w:cs="Arial"/>
          <w:sz w:val="22"/>
          <w:szCs w:val="22"/>
        </w:rPr>
        <w:t>, ČTÚ už se o definování tohoto trhu pokoušel v </w:t>
      </w:r>
      <w:proofErr w:type="gramStart"/>
      <w:r w:rsidR="0031779E">
        <w:rPr>
          <w:rFonts w:ascii="Arial" w:hAnsi="Arial" w:cs="Arial"/>
          <w:sz w:val="22"/>
          <w:szCs w:val="22"/>
        </w:rPr>
        <w:t>minulosti</w:t>
      </w:r>
      <w:proofErr w:type="gramEnd"/>
      <w:r w:rsidR="0031779E">
        <w:rPr>
          <w:rFonts w:ascii="Arial" w:hAnsi="Arial" w:cs="Arial"/>
          <w:sz w:val="22"/>
          <w:szCs w:val="22"/>
        </w:rPr>
        <w:t xml:space="preserve"> a nakonec to bylo právě provedení </w:t>
      </w:r>
      <w:r w:rsidR="00312F58">
        <w:rPr>
          <w:rFonts w:ascii="Arial" w:hAnsi="Arial" w:cs="Arial"/>
          <w:sz w:val="22"/>
          <w:szCs w:val="22"/>
        </w:rPr>
        <w:t xml:space="preserve">nového </w:t>
      </w:r>
      <w:r w:rsidR="0031779E">
        <w:rPr>
          <w:rFonts w:ascii="Arial" w:hAnsi="Arial" w:cs="Arial"/>
          <w:sz w:val="22"/>
          <w:szCs w:val="22"/>
        </w:rPr>
        <w:t xml:space="preserve">testu tří kritérií, které </w:t>
      </w:r>
      <w:r w:rsidR="00AF1A1D">
        <w:rPr>
          <w:rFonts w:ascii="Arial" w:hAnsi="Arial" w:cs="Arial"/>
          <w:sz w:val="22"/>
          <w:szCs w:val="22"/>
        </w:rPr>
        <w:t xml:space="preserve">prokázalo, že </w:t>
      </w:r>
      <w:r w:rsidR="00384CD5">
        <w:rPr>
          <w:rFonts w:ascii="Arial" w:hAnsi="Arial" w:cs="Arial"/>
          <w:sz w:val="22"/>
          <w:szCs w:val="22"/>
        </w:rPr>
        <w:t xml:space="preserve">kumulativní splnění všech tří kritérií nebylo splněno a celý proces byl tak po několika letech </w:t>
      </w:r>
      <w:r w:rsidR="00312F58">
        <w:rPr>
          <w:rFonts w:ascii="Arial" w:hAnsi="Arial" w:cs="Arial"/>
          <w:sz w:val="22"/>
          <w:szCs w:val="22"/>
        </w:rPr>
        <w:t xml:space="preserve">a </w:t>
      </w:r>
      <w:r w:rsidR="00CC23CD">
        <w:rPr>
          <w:rFonts w:ascii="Arial" w:hAnsi="Arial" w:cs="Arial"/>
          <w:sz w:val="22"/>
          <w:szCs w:val="22"/>
        </w:rPr>
        <w:t xml:space="preserve">zcela </w:t>
      </w:r>
      <w:r w:rsidR="00507B3F">
        <w:rPr>
          <w:rFonts w:ascii="Arial" w:hAnsi="Arial" w:cs="Arial"/>
          <w:sz w:val="22"/>
          <w:szCs w:val="22"/>
        </w:rPr>
        <w:t>neefektivní</w:t>
      </w:r>
      <w:r w:rsidR="0054211C">
        <w:rPr>
          <w:rFonts w:ascii="Arial" w:hAnsi="Arial" w:cs="Arial"/>
          <w:sz w:val="22"/>
          <w:szCs w:val="22"/>
        </w:rPr>
        <w:t>m</w:t>
      </w:r>
      <w:r w:rsidR="00507B3F">
        <w:rPr>
          <w:rFonts w:ascii="Arial" w:hAnsi="Arial" w:cs="Arial"/>
          <w:sz w:val="22"/>
          <w:szCs w:val="22"/>
        </w:rPr>
        <w:t xml:space="preserve"> </w:t>
      </w:r>
      <w:r w:rsidR="00CD3923">
        <w:rPr>
          <w:rFonts w:ascii="Arial" w:hAnsi="Arial" w:cs="Arial"/>
          <w:sz w:val="22"/>
          <w:szCs w:val="22"/>
        </w:rPr>
        <w:t>vyčerpání mnoha prostředků ze strany všech relevantních stran ukončen.</w:t>
      </w:r>
    </w:p>
    <w:p w14:paraId="30C0C9E4" w14:textId="77777777" w:rsidR="00192A9C" w:rsidRDefault="00192A9C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9AB1167" w14:textId="4DDA7421" w:rsidR="005A3E41" w:rsidRPr="000A7189" w:rsidRDefault="005A3E41" w:rsidP="005A3E41">
      <w:pPr>
        <w:pStyle w:val="Nadpis2"/>
        <w:rPr>
          <w:szCs w:val="26"/>
        </w:rPr>
      </w:pPr>
      <w:r>
        <w:rPr>
          <w:szCs w:val="26"/>
        </w:rPr>
        <w:t xml:space="preserve">Zohlednění existujících </w:t>
      </w:r>
      <w:r w:rsidR="00F32B99">
        <w:rPr>
          <w:szCs w:val="26"/>
        </w:rPr>
        <w:t xml:space="preserve">a chystaných </w:t>
      </w:r>
      <w:r w:rsidR="00412817">
        <w:rPr>
          <w:szCs w:val="26"/>
        </w:rPr>
        <w:t xml:space="preserve">závazků a cenových </w:t>
      </w:r>
      <w:r w:rsidR="00F32B99">
        <w:rPr>
          <w:szCs w:val="26"/>
        </w:rPr>
        <w:t>regulací</w:t>
      </w:r>
      <w:r w:rsidR="00F258A5">
        <w:rPr>
          <w:szCs w:val="26"/>
        </w:rPr>
        <w:t xml:space="preserve">, které mají zajistit </w:t>
      </w:r>
      <w:r w:rsidR="001F0D38">
        <w:rPr>
          <w:szCs w:val="26"/>
        </w:rPr>
        <w:t>fungování velkoobchodního trhu</w:t>
      </w:r>
    </w:p>
    <w:p w14:paraId="047C8600" w14:textId="77777777" w:rsidR="00192A9C" w:rsidRDefault="00192A9C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026DB1E" w14:textId="77777777" w:rsidR="00363707" w:rsidRPr="00E6618D" w:rsidRDefault="00363707" w:rsidP="00363707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4DB10273" w14:textId="77777777" w:rsidR="00363707" w:rsidRDefault="00363707" w:rsidP="0036370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AB7D131" w14:textId="25D44AAD" w:rsidR="00363707" w:rsidRPr="00952E1E" w:rsidRDefault="00C17F38" w:rsidP="00363707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Analyzovat provázanost stávajících a chystaných závazků a cenových regulací uvalených na síťové operátory a jejich souhrnný dopad na </w:t>
      </w:r>
      <w:r w:rsidR="00C86787">
        <w:rPr>
          <w:rFonts w:ascii="Arial" w:hAnsi="Arial" w:cs="Arial"/>
          <w:b/>
          <w:sz w:val="22"/>
          <w:szCs w:val="22"/>
        </w:rPr>
        <w:t>definovaný trh.</w:t>
      </w:r>
    </w:p>
    <w:p w14:paraId="18E10F5B" w14:textId="77777777" w:rsidR="00363707" w:rsidRDefault="00363707" w:rsidP="00363707">
      <w:pPr>
        <w:ind w:firstLine="357"/>
        <w:rPr>
          <w:rFonts w:ascii="Arial" w:hAnsi="Arial" w:cs="Arial"/>
          <w:i/>
          <w:sz w:val="22"/>
          <w:szCs w:val="22"/>
        </w:rPr>
      </w:pPr>
    </w:p>
    <w:p w14:paraId="0D16E5A3" w14:textId="77777777" w:rsidR="00363707" w:rsidRDefault="00363707" w:rsidP="00363707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412689CD" w14:textId="77777777" w:rsidR="00192A9C" w:rsidRDefault="00192A9C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22C0A1F" w14:textId="5646062D" w:rsidR="00F373C8" w:rsidRDefault="00F32B99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32B99">
        <w:rPr>
          <w:rFonts w:ascii="Arial" w:hAnsi="Arial" w:cs="Arial"/>
          <w:sz w:val="22"/>
          <w:szCs w:val="22"/>
        </w:rPr>
        <w:t xml:space="preserve">ČTÚ na základě podmínek výběrových řízení z roku 2013 a 2016, která zahrnovala primární rádiové kmitočty používané pro technologii LTE, stanovuje pro dotčené příděly rádiových kmitočtů </w:t>
      </w:r>
      <w:r w:rsidR="00CC23CD">
        <w:rPr>
          <w:rFonts w:ascii="Arial" w:hAnsi="Arial" w:cs="Arial"/>
          <w:sz w:val="22"/>
          <w:szCs w:val="22"/>
        </w:rPr>
        <w:t xml:space="preserve">maximální </w:t>
      </w:r>
      <w:r w:rsidRPr="00F32B99">
        <w:rPr>
          <w:rFonts w:ascii="Arial" w:hAnsi="Arial" w:cs="Arial"/>
          <w:sz w:val="22"/>
          <w:szCs w:val="22"/>
        </w:rPr>
        <w:t xml:space="preserve">ceny a </w:t>
      </w:r>
      <w:r w:rsidR="00CC23CD">
        <w:rPr>
          <w:rFonts w:ascii="Arial" w:hAnsi="Arial" w:cs="Arial"/>
          <w:sz w:val="22"/>
          <w:szCs w:val="22"/>
        </w:rPr>
        <w:t xml:space="preserve">další </w:t>
      </w:r>
      <w:r w:rsidRPr="00F32B99">
        <w:rPr>
          <w:rFonts w:ascii="Arial" w:hAnsi="Arial" w:cs="Arial"/>
          <w:sz w:val="22"/>
          <w:szCs w:val="22"/>
        </w:rPr>
        <w:t xml:space="preserve">podmínky referenčních velkoobchodních smluv o přístupu k síti LTE. Mimo tyto referenční nabídky, jak ČTÚ </w:t>
      </w:r>
      <w:r w:rsidR="009B49A5">
        <w:rPr>
          <w:rFonts w:ascii="Arial" w:hAnsi="Arial" w:cs="Arial"/>
          <w:sz w:val="22"/>
          <w:szCs w:val="22"/>
        </w:rPr>
        <w:t xml:space="preserve">v testu tří kritérií </w:t>
      </w:r>
      <w:r w:rsidRPr="00F32B99">
        <w:rPr>
          <w:rFonts w:ascii="Arial" w:hAnsi="Arial" w:cs="Arial"/>
          <w:sz w:val="22"/>
          <w:szCs w:val="22"/>
        </w:rPr>
        <w:t>správně podotýká, je uzavřeno velké množství komerčních velkoobchodních smluv, které znamenají pro MVNO ještě lepší podmínky než ty, které schvaluje ČTÚ v rámci referenčních nabídek včetně přístupu k nejmodernější síti LTE.</w:t>
      </w:r>
      <w:r w:rsidR="009B49A5">
        <w:rPr>
          <w:rFonts w:ascii="Arial" w:hAnsi="Arial" w:cs="Arial"/>
          <w:sz w:val="22"/>
          <w:szCs w:val="22"/>
        </w:rPr>
        <w:t xml:space="preserve"> Tyto nabídky se na základě komerčních vyjednávaní průběžně aktualizují.</w:t>
      </w:r>
      <w:r w:rsidR="001F1AF5">
        <w:rPr>
          <w:rFonts w:ascii="Arial" w:hAnsi="Arial" w:cs="Arial"/>
          <w:sz w:val="22"/>
          <w:szCs w:val="22"/>
        </w:rPr>
        <w:t xml:space="preserve"> </w:t>
      </w:r>
      <w:r w:rsidR="00C54A62">
        <w:rPr>
          <w:rFonts w:ascii="Arial" w:hAnsi="Arial" w:cs="Arial"/>
          <w:sz w:val="22"/>
          <w:szCs w:val="22"/>
        </w:rPr>
        <w:t xml:space="preserve">Z praxe </w:t>
      </w:r>
      <w:r w:rsidR="00BA431E">
        <w:rPr>
          <w:rFonts w:ascii="Arial" w:hAnsi="Arial" w:cs="Arial"/>
          <w:sz w:val="22"/>
          <w:szCs w:val="22"/>
        </w:rPr>
        <w:t>je tedy patrné, že dochází ze strany MVNO k u</w:t>
      </w:r>
      <w:r w:rsidR="001F1AF5">
        <w:rPr>
          <w:rFonts w:ascii="Arial" w:hAnsi="Arial" w:cs="Arial"/>
          <w:sz w:val="22"/>
          <w:szCs w:val="22"/>
        </w:rPr>
        <w:t xml:space="preserve">přednostňování </w:t>
      </w:r>
      <w:r w:rsidR="00637292">
        <w:rPr>
          <w:rFonts w:ascii="Arial" w:hAnsi="Arial" w:cs="Arial"/>
          <w:sz w:val="22"/>
          <w:szCs w:val="22"/>
        </w:rPr>
        <w:t xml:space="preserve">využívání </w:t>
      </w:r>
      <w:r w:rsidR="00BA431E">
        <w:rPr>
          <w:rFonts w:ascii="Arial" w:hAnsi="Arial" w:cs="Arial"/>
          <w:sz w:val="22"/>
          <w:szCs w:val="22"/>
        </w:rPr>
        <w:t xml:space="preserve">velkoobchodních </w:t>
      </w:r>
      <w:r w:rsidR="00637292">
        <w:rPr>
          <w:rFonts w:ascii="Arial" w:hAnsi="Arial" w:cs="Arial"/>
          <w:sz w:val="22"/>
          <w:szCs w:val="22"/>
        </w:rPr>
        <w:t>komer</w:t>
      </w:r>
      <w:r w:rsidR="001F1AF5">
        <w:rPr>
          <w:rFonts w:ascii="Arial" w:hAnsi="Arial" w:cs="Arial"/>
          <w:sz w:val="22"/>
          <w:szCs w:val="22"/>
        </w:rPr>
        <w:t xml:space="preserve">čních nabídek namísto regulované </w:t>
      </w:r>
      <w:r w:rsidR="00BA431E">
        <w:rPr>
          <w:rFonts w:ascii="Arial" w:hAnsi="Arial" w:cs="Arial"/>
          <w:sz w:val="22"/>
          <w:szCs w:val="22"/>
        </w:rPr>
        <w:t xml:space="preserve">velkoobchodní </w:t>
      </w:r>
      <w:r w:rsidR="001F1AF5">
        <w:rPr>
          <w:rFonts w:ascii="Arial" w:hAnsi="Arial" w:cs="Arial"/>
          <w:sz w:val="22"/>
          <w:szCs w:val="22"/>
        </w:rPr>
        <w:t>nabídky</w:t>
      </w:r>
      <w:r w:rsidR="00396B48">
        <w:rPr>
          <w:rFonts w:ascii="Arial" w:hAnsi="Arial" w:cs="Arial"/>
          <w:sz w:val="22"/>
          <w:szCs w:val="22"/>
        </w:rPr>
        <w:t xml:space="preserve"> (zatím </w:t>
      </w:r>
      <w:r w:rsidR="002E0119">
        <w:rPr>
          <w:rFonts w:ascii="Arial" w:hAnsi="Arial" w:cs="Arial"/>
          <w:sz w:val="22"/>
          <w:szCs w:val="22"/>
        </w:rPr>
        <w:t xml:space="preserve">není </w:t>
      </w:r>
      <w:r w:rsidR="00396B48">
        <w:rPr>
          <w:rFonts w:ascii="Arial" w:hAnsi="Arial" w:cs="Arial"/>
          <w:sz w:val="22"/>
          <w:szCs w:val="22"/>
        </w:rPr>
        <w:t>žádn</w:t>
      </w:r>
      <w:r w:rsidR="002E0119">
        <w:rPr>
          <w:rFonts w:ascii="Arial" w:hAnsi="Arial" w:cs="Arial"/>
          <w:sz w:val="22"/>
          <w:szCs w:val="22"/>
        </w:rPr>
        <w:t>ým subjektem</w:t>
      </w:r>
      <w:r w:rsidR="004154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6B48">
        <w:rPr>
          <w:rFonts w:ascii="Arial" w:hAnsi="Arial" w:cs="Arial"/>
          <w:sz w:val="22"/>
          <w:szCs w:val="22"/>
        </w:rPr>
        <w:t>využita</w:t>
      </w:r>
      <w:proofErr w:type="gramEnd"/>
      <w:r w:rsidR="004154FB">
        <w:rPr>
          <w:rFonts w:ascii="Arial" w:hAnsi="Arial" w:cs="Arial"/>
          <w:sz w:val="22"/>
          <w:szCs w:val="22"/>
        </w:rPr>
        <w:t xml:space="preserve"> </w:t>
      </w:r>
      <w:r w:rsidR="00396B48">
        <w:rPr>
          <w:rFonts w:ascii="Arial" w:hAnsi="Arial" w:cs="Arial"/>
          <w:sz w:val="22"/>
          <w:szCs w:val="22"/>
        </w:rPr>
        <w:t xml:space="preserve">a tedy lze na ní </w:t>
      </w:r>
      <w:r w:rsidR="00396B48">
        <w:rPr>
          <w:rFonts w:ascii="Arial" w:hAnsi="Arial" w:cs="Arial"/>
          <w:sz w:val="22"/>
          <w:szCs w:val="22"/>
        </w:rPr>
        <w:lastRenderedPageBreak/>
        <w:t>pohlížet jen na jakousi formu pojistky</w:t>
      </w:r>
      <w:r w:rsidR="00704A6B">
        <w:rPr>
          <w:rFonts w:ascii="Arial" w:hAnsi="Arial" w:cs="Arial"/>
          <w:sz w:val="22"/>
          <w:szCs w:val="22"/>
        </w:rPr>
        <w:t>,</w:t>
      </w:r>
      <w:r w:rsidR="00396B48">
        <w:rPr>
          <w:rFonts w:ascii="Arial" w:hAnsi="Arial" w:cs="Arial"/>
          <w:sz w:val="22"/>
          <w:szCs w:val="22"/>
        </w:rPr>
        <w:t xml:space="preserve"> kdyby selhávalo uzavírání smluv na základě tržního vyjednávání mezi subjekty)</w:t>
      </w:r>
      <w:r w:rsidR="00BA431E">
        <w:rPr>
          <w:rFonts w:ascii="Arial" w:hAnsi="Arial" w:cs="Arial"/>
          <w:sz w:val="22"/>
          <w:szCs w:val="22"/>
        </w:rPr>
        <w:t>,</w:t>
      </w:r>
      <w:r w:rsidR="001F1AF5">
        <w:rPr>
          <w:rFonts w:ascii="Arial" w:hAnsi="Arial" w:cs="Arial"/>
          <w:sz w:val="22"/>
          <w:szCs w:val="22"/>
        </w:rPr>
        <w:t xml:space="preserve"> </w:t>
      </w:r>
      <w:r w:rsidR="00BA431E">
        <w:rPr>
          <w:rFonts w:ascii="Arial" w:hAnsi="Arial" w:cs="Arial"/>
          <w:sz w:val="22"/>
          <w:szCs w:val="22"/>
        </w:rPr>
        <w:t xml:space="preserve">což </w:t>
      </w:r>
      <w:r w:rsidR="001F1AF5">
        <w:rPr>
          <w:rFonts w:ascii="Arial" w:hAnsi="Arial" w:cs="Arial"/>
          <w:sz w:val="22"/>
          <w:szCs w:val="22"/>
        </w:rPr>
        <w:t>ukazuje na zdravé fungování přirozených tržních mechanismů.</w:t>
      </w:r>
    </w:p>
    <w:p w14:paraId="3A9DCBCE" w14:textId="52A06A56" w:rsidR="009B49A5" w:rsidRDefault="009B49A5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1FE7EBF" w14:textId="0A64A4C5" w:rsidR="008E618B" w:rsidRDefault="0084055E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C561A9">
        <w:rPr>
          <w:rFonts w:ascii="Arial" w:hAnsi="Arial" w:cs="Arial"/>
          <w:sz w:val="22"/>
          <w:szCs w:val="22"/>
        </w:rPr>
        <w:t xml:space="preserve">je ze strany ČTÚ chystáno výběrové řízení </w:t>
      </w:r>
      <w:r w:rsidR="004C00F1">
        <w:rPr>
          <w:rFonts w:ascii="Arial" w:hAnsi="Arial" w:cs="Arial"/>
          <w:sz w:val="22"/>
          <w:szCs w:val="22"/>
        </w:rPr>
        <w:t xml:space="preserve">na rádiové kmitočty </w:t>
      </w:r>
      <w:r w:rsidR="005E42B7">
        <w:rPr>
          <w:rFonts w:ascii="Arial" w:hAnsi="Arial" w:cs="Arial"/>
          <w:sz w:val="22"/>
          <w:szCs w:val="22"/>
        </w:rPr>
        <w:t xml:space="preserve">v pásmu 700 MHz a 3500 </w:t>
      </w:r>
      <w:r w:rsidR="00990488">
        <w:rPr>
          <w:rFonts w:ascii="Arial" w:hAnsi="Arial" w:cs="Arial"/>
          <w:sz w:val="22"/>
          <w:szCs w:val="22"/>
        </w:rPr>
        <w:t>M</w:t>
      </w:r>
      <w:r w:rsidR="005E42B7">
        <w:rPr>
          <w:rFonts w:ascii="Arial" w:hAnsi="Arial" w:cs="Arial"/>
          <w:sz w:val="22"/>
          <w:szCs w:val="22"/>
        </w:rPr>
        <w:t xml:space="preserve">Hz </w:t>
      </w:r>
      <w:r w:rsidR="004C00F1">
        <w:rPr>
          <w:rFonts w:ascii="Arial" w:hAnsi="Arial" w:cs="Arial"/>
          <w:sz w:val="22"/>
          <w:szCs w:val="22"/>
        </w:rPr>
        <w:t>s předpokládaným termín</w:t>
      </w:r>
      <w:r w:rsidR="005E42B7">
        <w:rPr>
          <w:rFonts w:ascii="Arial" w:hAnsi="Arial" w:cs="Arial"/>
          <w:sz w:val="22"/>
          <w:szCs w:val="22"/>
        </w:rPr>
        <w:t>em</w:t>
      </w:r>
      <w:r w:rsidR="004C00F1">
        <w:rPr>
          <w:rFonts w:ascii="Arial" w:hAnsi="Arial" w:cs="Arial"/>
          <w:sz w:val="22"/>
          <w:szCs w:val="22"/>
        </w:rPr>
        <w:t xml:space="preserve"> dokončením do poloviny roku 2020. </w:t>
      </w:r>
      <w:r w:rsidR="003A2CE4">
        <w:rPr>
          <w:rFonts w:ascii="Arial" w:hAnsi="Arial" w:cs="Arial"/>
          <w:sz w:val="22"/>
          <w:szCs w:val="22"/>
        </w:rPr>
        <w:t xml:space="preserve">ČTÚ </w:t>
      </w:r>
      <w:r w:rsidR="007210EB">
        <w:rPr>
          <w:rFonts w:ascii="Arial" w:hAnsi="Arial" w:cs="Arial"/>
          <w:sz w:val="22"/>
          <w:szCs w:val="22"/>
        </w:rPr>
        <w:t>dne 26. srpna 2019 zveřejnil vypořádání připomínek k</w:t>
      </w:r>
      <w:r w:rsidRPr="0084055E">
        <w:rPr>
          <w:rFonts w:ascii="Arial" w:hAnsi="Arial" w:cs="Arial"/>
          <w:sz w:val="22"/>
          <w:szCs w:val="22"/>
        </w:rPr>
        <w:t xml:space="preserve"> návrhu textu Vyhlášení výběrového řízení za účelem udělení práv k využívání rádiových kmitočtů pro zajištění sítí elektronických komunikací v kmitočtových pásmech 700 MHz a 3400-3600 MHz</w:t>
      </w:r>
      <w:r w:rsidR="00273D5C">
        <w:rPr>
          <w:rFonts w:ascii="Arial" w:hAnsi="Arial" w:cs="Arial"/>
          <w:sz w:val="22"/>
          <w:szCs w:val="22"/>
        </w:rPr>
        <w:t>.</w:t>
      </w:r>
      <w:r w:rsidR="004C00F1">
        <w:rPr>
          <w:rFonts w:ascii="Arial" w:hAnsi="Arial" w:cs="Arial"/>
          <w:sz w:val="22"/>
          <w:szCs w:val="22"/>
        </w:rPr>
        <w:t xml:space="preserve"> </w:t>
      </w:r>
      <w:r w:rsidR="00273D5C">
        <w:rPr>
          <w:rFonts w:ascii="Arial" w:hAnsi="Arial" w:cs="Arial"/>
          <w:sz w:val="22"/>
          <w:szCs w:val="22"/>
        </w:rPr>
        <w:t xml:space="preserve">Z toho </w:t>
      </w:r>
      <w:r w:rsidR="004C00F1">
        <w:rPr>
          <w:rFonts w:ascii="Arial" w:hAnsi="Arial" w:cs="Arial"/>
          <w:sz w:val="22"/>
          <w:szCs w:val="22"/>
        </w:rPr>
        <w:t>i</w:t>
      </w:r>
      <w:r w:rsidR="00273D5C">
        <w:rPr>
          <w:rFonts w:ascii="Arial" w:hAnsi="Arial" w:cs="Arial"/>
          <w:sz w:val="22"/>
          <w:szCs w:val="22"/>
        </w:rPr>
        <w:t> </w:t>
      </w:r>
      <w:r w:rsidR="004C00F1">
        <w:rPr>
          <w:rFonts w:ascii="Arial" w:hAnsi="Arial" w:cs="Arial"/>
          <w:sz w:val="22"/>
          <w:szCs w:val="22"/>
        </w:rPr>
        <w:t xml:space="preserve">nadále vyplývá, že </w:t>
      </w:r>
      <w:r w:rsidR="004C00F1" w:rsidRPr="005A15E5">
        <w:rPr>
          <w:rFonts w:ascii="Arial" w:hAnsi="Arial" w:cs="Arial"/>
          <w:b/>
          <w:sz w:val="22"/>
          <w:szCs w:val="22"/>
        </w:rPr>
        <w:t>ČTÚ zamýšlí na stávající operátory</w:t>
      </w:r>
      <w:r w:rsidR="00A2585B">
        <w:rPr>
          <w:rFonts w:ascii="Arial" w:hAnsi="Arial" w:cs="Arial"/>
          <w:sz w:val="22"/>
          <w:szCs w:val="22"/>
        </w:rPr>
        <w:t>, kteří by se výběrového řízení zúčastnili</w:t>
      </w:r>
      <w:r w:rsidR="00990488">
        <w:rPr>
          <w:rFonts w:ascii="Arial" w:hAnsi="Arial" w:cs="Arial"/>
          <w:sz w:val="22"/>
          <w:szCs w:val="22"/>
        </w:rPr>
        <w:t xml:space="preserve"> a získali </w:t>
      </w:r>
      <w:r w:rsidR="0095473E">
        <w:rPr>
          <w:rFonts w:ascii="Arial" w:hAnsi="Arial" w:cs="Arial"/>
          <w:sz w:val="22"/>
          <w:szCs w:val="22"/>
        </w:rPr>
        <w:t>rádiové kmitočty v pásmu 700 MHz</w:t>
      </w:r>
      <w:r w:rsidR="00A2585B">
        <w:rPr>
          <w:rFonts w:ascii="Arial" w:hAnsi="Arial" w:cs="Arial"/>
          <w:sz w:val="22"/>
          <w:szCs w:val="22"/>
        </w:rPr>
        <w:t>,</w:t>
      </w:r>
      <w:r w:rsidR="004C00F1">
        <w:rPr>
          <w:rFonts w:ascii="Arial" w:hAnsi="Arial" w:cs="Arial"/>
          <w:sz w:val="22"/>
          <w:szCs w:val="22"/>
        </w:rPr>
        <w:t xml:space="preserve"> </w:t>
      </w:r>
      <w:r w:rsidR="004C00F1" w:rsidRPr="005A15E5">
        <w:rPr>
          <w:rFonts w:ascii="Arial" w:hAnsi="Arial" w:cs="Arial"/>
          <w:b/>
          <w:sz w:val="22"/>
          <w:szCs w:val="22"/>
        </w:rPr>
        <w:t xml:space="preserve">uvalit povinnost poskytnutí </w:t>
      </w:r>
      <w:r w:rsidR="00A2585B" w:rsidRPr="005A15E5">
        <w:rPr>
          <w:rFonts w:ascii="Arial" w:hAnsi="Arial" w:cs="Arial"/>
          <w:b/>
          <w:sz w:val="22"/>
          <w:szCs w:val="22"/>
        </w:rPr>
        <w:t xml:space="preserve">národního roamingu případnému novému </w:t>
      </w:r>
      <w:r w:rsidR="0092756D" w:rsidRPr="005A15E5">
        <w:rPr>
          <w:rFonts w:ascii="Arial" w:hAnsi="Arial" w:cs="Arial"/>
          <w:b/>
          <w:sz w:val="22"/>
          <w:szCs w:val="22"/>
        </w:rPr>
        <w:t xml:space="preserve">síťovému </w:t>
      </w:r>
      <w:r w:rsidR="00A2585B" w:rsidRPr="005A15E5">
        <w:rPr>
          <w:rFonts w:ascii="Arial" w:hAnsi="Arial" w:cs="Arial"/>
          <w:b/>
          <w:sz w:val="22"/>
          <w:szCs w:val="22"/>
        </w:rPr>
        <w:t>operátorovi</w:t>
      </w:r>
      <w:r w:rsidR="00273D5C" w:rsidRPr="005A15E5">
        <w:rPr>
          <w:rFonts w:ascii="Arial" w:hAnsi="Arial" w:cs="Arial"/>
          <w:b/>
          <w:sz w:val="22"/>
          <w:szCs w:val="22"/>
        </w:rPr>
        <w:t xml:space="preserve"> a </w:t>
      </w:r>
      <w:r w:rsidR="00A2585B" w:rsidRPr="005A15E5">
        <w:rPr>
          <w:rFonts w:ascii="Arial" w:hAnsi="Arial" w:cs="Arial"/>
          <w:b/>
          <w:sz w:val="22"/>
          <w:szCs w:val="22"/>
        </w:rPr>
        <w:t>rozš</w:t>
      </w:r>
      <w:r w:rsidR="0054211C">
        <w:rPr>
          <w:rFonts w:ascii="Arial" w:hAnsi="Arial" w:cs="Arial"/>
          <w:b/>
          <w:sz w:val="22"/>
          <w:szCs w:val="22"/>
        </w:rPr>
        <w:t>ířit</w:t>
      </w:r>
      <w:r w:rsidR="00A2585B" w:rsidRPr="005A15E5">
        <w:rPr>
          <w:rFonts w:ascii="Arial" w:hAnsi="Arial" w:cs="Arial"/>
          <w:b/>
          <w:sz w:val="22"/>
          <w:szCs w:val="22"/>
        </w:rPr>
        <w:t xml:space="preserve"> </w:t>
      </w:r>
      <w:r w:rsidR="008A5378" w:rsidRPr="005A15E5">
        <w:rPr>
          <w:rFonts w:ascii="Arial" w:hAnsi="Arial" w:cs="Arial"/>
          <w:b/>
          <w:sz w:val="22"/>
          <w:szCs w:val="22"/>
        </w:rPr>
        <w:t>závazek velkoobchodní nabídky i na pásmo 700 MHz</w:t>
      </w:r>
      <w:r w:rsidR="008A5378">
        <w:rPr>
          <w:rFonts w:ascii="Arial" w:hAnsi="Arial" w:cs="Arial"/>
          <w:sz w:val="22"/>
          <w:szCs w:val="22"/>
        </w:rPr>
        <w:t>.</w:t>
      </w:r>
      <w:r w:rsidR="00E911A0">
        <w:rPr>
          <w:rFonts w:ascii="Arial" w:hAnsi="Arial" w:cs="Arial"/>
          <w:sz w:val="22"/>
          <w:szCs w:val="22"/>
        </w:rPr>
        <w:t xml:space="preserve"> Mimo to je </w:t>
      </w:r>
      <w:r w:rsidR="00167B9B">
        <w:rPr>
          <w:rFonts w:ascii="Arial" w:hAnsi="Arial" w:cs="Arial"/>
          <w:sz w:val="22"/>
          <w:szCs w:val="22"/>
        </w:rPr>
        <w:t>pásmo zatíženo z</w:t>
      </w:r>
      <w:r w:rsidR="000F0905">
        <w:rPr>
          <w:rFonts w:ascii="Arial" w:hAnsi="Arial" w:cs="Arial"/>
          <w:sz w:val="22"/>
          <w:szCs w:val="22"/>
        </w:rPr>
        <w:t xml:space="preserve">ávazkem Prioritního PPDR či národního roamingu pro PPDR služby a velmi přísnými rozvojovými kritérii. </w:t>
      </w:r>
      <w:r w:rsidR="007D371E">
        <w:rPr>
          <w:rFonts w:ascii="Arial" w:hAnsi="Arial" w:cs="Arial"/>
          <w:sz w:val="22"/>
          <w:szCs w:val="22"/>
        </w:rPr>
        <w:t xml:space="preserve">Ze strany Evropské unie pak mobilní </w:t>
      </w:r>
      <w:r w:rsidR="00E14059">
        <w:rPr>
          <w:rFonts w:ascii="Arial" w:hAnsi="Arial" w:cs="Arial"/>
          <w:sz w:val="22"/>
          <w:szCs w:val="22"/>
        </w:rPr>
        <w:t>operátoři musí plnit cenovou regulaci mezinárodního roamingu, která jim neumožňuje</w:t>
      </w:r>
      <w:r w:rsidR="00B827B6">
        <w:rPr>
          <w:rFonts w:ascii="Arial" w:hAnsi="Arial" w:cs="Arial"/>
          <w:sz w:val="22"/>
          <w:szCs w:val="22"/>
        </w:rPr>
        <w:t xml:space="preserve"> pokrýt ani značné náklady generované </w:t>
      </w:r>
      <w:r w:rsidR="00AB26B5">
        <w:rPr>
          <w:rFonts w:ascii="Arial" w:hAnsi="Arial" w:cs="Arial"/>
          <w:sz w:val="22"/>
          <w:szCs w:val="22"/>
        </w:rPr>
        <w:t>roamingovým provozem.</w:t>
      </w:r>
      <w:r w:rsidR="006235A0">
        <w:rPr>
          <w:rFonts w:ascii="Arial" w:hAnsi="Arial" w:cs="Arial"/>
          <w:sz w:val="22"/>
          <w:szCs w:val="22"/>
        </w:rPr>
        <w:t xml:space="preserve"> </w:t>
      </w:r>
      <w:r w:rsidR="00DF01D6">
        <w:rPr>
          <w:rFonts w:ascii="Arial" w:hAnsi="Arial" w:cs="Arial"/>
          <w:sz w:val="22"/>
          <w:szCs w:val="22"/>
        </w:rPr>
        <w:t xml:space="preserve">Od května 2019 je také </w:t>
      </w:r>
      <w:r w:rsidR="00B86017">
        <w:rPr>
          <w:rFonts w:ascii="Arial" w:hAnsi="Arial" w:cs="Arial"/>
          <w:sz w:val="22"/>
          <w:szCs w:val="22"/>
        </w:rPr>
        <w:t>na evropské úrovni</w:t>
      </w:r>
      <w:r w:rsidR="00737C6D">
        <w:rPr>
          <w:rFonts w:ascii="Arial" w:hAnsi="Arial" w:cs="Arial"/>
          <w:sz w:val="22"/>
          <w:szCs w:val="22"/>
        </w:rPr>
        <w:t xml:space="preserve"> </w:t>
      </w:r>
      <w:r w:rsidR="00DF01D6">
        <w:rPr>
          <w:rFonts w:ascii="Arial" w:hAnsi="Arial" w:cs="Arial"/>
          <w:sz w:val="22"/>
          <w:szCs w:val="22"/>
        </w:rPr>
        <w:t xml:space="preserve">regulována </w:t>
      </w:r>
      <w:r w:rsidR="00737C6D">
        <w:rPr>
          <w:rFonts w:ascii="Arial" w:hAnsi="Arial" w:cs="Arial"/>
          <w:sz w:val="22"/>
          <w:szCs w:val="22"/>
        </w:rPr>
        <w:t xml:space="preserve">maloobchodní </w:t>
      </w:r>
      <w:r w:rsidR="00DF01D6">
        <w:rPr>
          <w:rFonts w:ascii="Arial" w:hAnsi="Arial" w:cs="Arial"/>
          <w:sz w:val="22"/>
          <w:szCs w:val="22"/>
        </w:rPr>
        <w:t>cena mezinárodních hovorů a</w:t>
      </w:r>
      <w:r w:rsidR="00B01957">
        <w:rPr>
          <w:rFonts w:ascii="Arial" w:hAnsi="Arial" w:cs="Arial"/>
          <w:sz w:val="22"/>
          <w:szCs w:val="22"/>
        </w:rPr>
        <w:t xml:space="preserve"> </w:t>
      </w:r>
      <w:r w:rsidR="00737C6D">
        <w:rPr>
          <w:rFonts w:ascii="Arial" w:hAnsi="Arial" w:cs="Arial"/>
          <w:sz w:val="22"/>
          <w:szCs w:val="22"/>
        </w:rPr>
        <w:t>chystá se výrazné snížení</w:t>
      </w:r>
      <w:r w:rsidR="0074604D">
        <w:rPr>
          <w:rFonts w:ascii="Arial" w:hAnsi="Arial" w:cs="Arial"/>
          <w:sz w:val="22"/>
          <w:szCs w:val="22"/>
        </w:rPr>
        <w:t xml:space="preserve"> </w:t>
      </w:r>
      <w:r w:rsidR="001449B5">
        <w:rPr>
          <w:rFonts w:ascii="Arial" w:hAnsi="Arial" w:cs="Arial"/>
          <w:sz w:val="22"/>
          <w:szCs w:val="22"/>
        </w:rPr>
        <w:t xml:space="preserve">regulovaných </w:t>
      </w:r>
      <w:r w:rsidR="0074604D">
        <w:rPr>
          <w:rFonts w:ascii="Arial" w:hAnsi="Arial" w:cs="Arial"/>
          <w:sz w:val="22"/>
          <w:szCs w:val="22"/>
        </w:rPr>
        <w:t>terminačních poplatků.</w:t>
      </w:r>
    </w:p>
    <w:p w14:paraId="7882F3C3" w14:textId="77777777" w:rsidR="008E618B" w:rsidRDefault="008E618B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981E174" w14:textId="45E4A2FF" w:rsidR="005F35FB" w:rsidRDefault="000F0905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A15E5">
        <w:rPr>
          <w:rFonts w:ascii="Arial" w:hAnsi="Arial" w:cs="Arial"/>
          <w:b/>
          <w:sz w:val="22"/>
          <w:szCs w:val="22"/>
        </w:rPr>
        <w:t>Společnost O2 si není vědoma toho, že by ČTÚ</w:t>
      </w:r>
      <w:r w:rsidR="00C557A6">
        <w:rPr>
          <w:rFonts w:ascii="Arial" w:hAnsi="Arial" w:cs="Arial"/>
          <w:b/>
          <w:sz w:val="22"/>
          <w:szCs w:val="22"/>
        </w:rPr>
        <w:t xml:space="preserve"> </w:t>
      </w:r>
      <w:r w:rsidR="002049F4">
        <w:rPr>
          <w:rFonts w:ascii="Arial" w:hAnsi="Arial" w:cs="Arial"/>
          <w:b/>
          <w:sz w:val="22"/>
          <w:szCs w:val="22"/>
        </w:rPr>
        <w:t xml:space="preserve">adekvátně </w:t>
      </w:r>
      <w:r w:rsidRPr="005A15E5">
        <w:rPr>
          <w:rFonts w:ascii="Arial" w:hAnsi="Arial" w:cs="Arial"/>
          <w:b/>
          <w:sz w:val="22"/>
          <w:szCs w:val="22"/>
        </w:rPr>
        <w:t>analyzoval</w:t>
      </w:r>
      <w:r w:rsidR="005F35FB" w:rsidRPr="005A15E5">
        <w:rPr>
          <w:rFonts w:ascii="Arial" w:hAnsi="Arial" w:cs="Arial"/>
          <w:b/>
          <w:sz w:val="22"/>
          <w:szCs w:val="22"/>
        </w:rPr>
        <w:t>,</w:t>
      </w:r>
      <w:r w:rsidRPr="005A15E5">
        <w:rPr>
          <w:rFonts w:ascii="Arial" w:hAnsi="Arial" w:cs="Arial"/>
          <w:b/>
          <w:sz w:val="22"/>
          <w:szCs w:val="22"/>
        </w:rPr>
        <w:t xml:space="preserve"> </w:t>
      </w:r>
      <w:r w:rsidR="005B5BB2" w:rsidRPr="005A15E5">
        <w:rPr>
          <w:rFonts w:ascii="Arial" w:hAnsi="Arial" w:cs="Arial"/>
          <w:b/>
          <w:sz w:val="22"/>
          <w:szCs w:val="22"/>
        </w:rPr>
        <w:t>jaká je provázanost jednotlivých závazků a cenových regulací,</w:t>
      </w:r>
      <w:r w:rsidR="005F35FB" w:rsidRPr="005A15E5">
        <w:rPr>
          <w:rFonts w:ascii="Arial" w:hAnsi="Arial" w:cs="Arial"/>
          <w:b/>
          <w:sz w:val="22"/>
          <w:szCs w:val="22"/>
        </w:rPr>
        <w:t xml:space="preserve"> které mají za úkol zjednodušit přístup subjektů na definovaný trh a tím zvýšit probíhající konkurenci.</w:t>
      </w:r>
      <w:r w:rsidR="003F50AA">
        <w:rPr>
          <w:rFonts w:ascii="Arial" w:hAnsi="Arial" w:cs="Arial"/>
          <w:b/>
          <w:sz w:val="22"/>
          <w:szCs w:val="22"/>
        </w:rPr>
        <w:t xml:space="preserve"> </w:t>
      </w:r>
      <w:r w:rsidR="003F50AA" w:rsidRPr="001645B8">
        <w:rPr>
          <w:rFonts w:ascii="Arial" w:hAnsi="Arial" w:cs="Arial"/>
          <w:sz w:val="22"/>
          <w:szCs w:val="22"/>
        </w:rPr>
        <w:t xml:space="preserve">Výše uvedené </w:t>
      </w:r>
      <w:r w:rsidR="001645B8" w:rsidRPr="001645B8">
        <w:rPr>
          <w:rFonts w:ascii="Arial" w:hAnsi="Arial" w:cs="Arial"/>
          <w:sz w:val="22"/>
          <w:szCs w:val="22"/>
        </w:rPr>
        <w:t>závazky a cenové regulace mají vést</w:t>
      </w:r>
      <w:r w:rsidR="001645B8">
        <w:rPr>
          <w:rFonts w:ascii="Arial" w:hAnsi="Arial" w:cs="Arial"/>
          <w:sz w:val="22"/>
          <w:szCs w:val="22"/>
        </w:rPr>
        <w:t xml:space="preserve"> ke</w:t>
      </w:r>
      <w:r w:rsidR="00937175">
        <w:rPr>
          <w:rFonts w:ascii="Arial" w:hAnsi="Arial" w:cs="Arial"/>
          <w:sz w:val="22"/>
          <w:szCs w:val="22"/>
        </w:rPr>
        <w:t xml:space="preserve"> </w:t>
      </w:r>
      <w:r w:rsidR="001645B8">
        <w:rPr>
          <w:rFonts w:ascii="Arial" w:hAnsi="Arial" w:cs="Arial"/>
          <w:sz w:val="22"/>
          <w:szCs w:val="22"/>
        </w:rPr>
        <w:t>snížení</w:t>
      </w:r>
      <w:r w:rsidR="000E62BE">
        <w:rPr>
          <w:rFonts w:ascii="Arial" w:hAnsi="Arial" w:cs="Arial"/>
          <w:sz w:val="22"/>
          <w:szCs w:val="22"/>
        </w:rPr>
        <w:t xml:space="preserve"> </w:t>
      </w:r>
      <w:r w:rsidR="00937175">
        <w:rPr>
          <w:rFonts w:ascii="Arial" w:hAnsi="Arial" w:cs="Arial"/>
          <w:sz w:val="22"/>
          <w:szCs w:val="22"/>
        </w:rPr>
        <w:t>cen pro koncové zákazníky a</w:t>
      </w:r>
      <w:r w:rsidR="001A1AA4">
        <w:rPr>
          <w:rFonts w:ascii="Arial" w:hAnsi="Arial" w:cs="Arial"/>
          <w:sz w:val="22"/>
          <w:szCs w:val="22"/>
        </w:rPr>
        <w:t xml:space="preserve"> snížení marží operátorů</w:t>
      </w:r>
      <w:r w:rsidR="0092151B">
        <w:rPr>
          <w:rFonts w:ascii="Arial" w:hAnsi="Arial" w:cs="Arial"/>
          <w:sz w:val="22"/>
          <w:szCs w:val="22"/>
        </w:rPr>
        <w:t xml:space="preserve">. Každá další (cenová) regulace by tedy měla být </w:t>
      </w:r>
      <w:r w:rsidR="002B396D">
        <w:rPr>
          <w:rFonts w:ascii="Arial" w:hAnsi="Arial" w:cs="Arial"/>
          <w:sz w:val="22"/>
          <w:szCs w:val="22"/>
        </w:rPr>
        <w:t>velmi důkladně anal</w:t>
      </w:r>
      <w:r w:rsidR="007D0B61">
        <w:rPr>
          <w:rFonts w:ascii="Arial" w:hAnsi="Arial" w:cs="Arial"/>
          <w:sz w:val="22"/>
          <w:szCs w:val="22"/>
        </w:rPr>
        <w:t xml:space="preserve">yzována s ohledem na další cíle, které by měl ČTÚ zajišťovat, jako je například udržení </w:t>
      </w:r>
      <w:r w:rsidR="00D2200E">
        <w:rPr>
          <w:rFonts w:ascii="Arial" w:hAnsi="Arial" w:cs="Arial"/>
          <w:sz w:val="22"/>
          <w:szCs w:val="22"/>
        </w:rPr>
        <w:t xml:space="preserve">mezinárodní </w:t>
      </w:r>
      <w:r w:rsidR="007D0B61">
        <w:rPr>
          <w:rFonts w:ascii="Arial" w:hAnsi="Arial" w:cs="Arial"/>
          <w:sz w:val="22"/>
          <w:szCs w:val="22"/>
        </w:rPr>
        <w:t xml:space="preserve">technologické konkurenceschopnosti </w:t>
      </w:r>
      <w:r w:rsidR="00D2200E">
        <w:rPr>
          <w:rFonts w:ascii="Arial" w:hAnsi="Arial" w:cs="Arial"/>
          <w:sz w:val="22"/>
          <w:szCs w:val="22"/>
        </w:rPr>
        <w:t>mobilních sítí v České republice</w:t>
      </w:r>
      <w:r w:rsidR="007D0B61">
        <w:rPr>
          <w:rFonts w:ascii="Arial" w:hAnsi="Arial" w:cs="Arial"/>
          <w:sz w:val="22"/>
          <w:szCs w:val="22"/>
        </w:rPr>
        <w:t>.</w:t>
      </w:r>
      <w:r w:rsidR="00937175">
        <w:rPr>
          <w:rFonts w:ascii="Arial" w:hAnsi="Arial" w:cs="Arial"/>
          <w:sz w:val="22"/>
          <w:szCs w:val="22"/>
        </w:rPr>
        <w:t xml:space="preserve"> </w:t>
      </w:r>
      <w:r w:rsidR="00C86787">
        <w:rPr>
          <w:rFonts w:ascii="Arial" w:hAnsi="Arial" w:cs="Arial"/>
          <w:sz w:val="22"/>
          <w:szCs w:val="22"/>
        </w:rPr>
        <w:t>Společnost O2 má za to, že</w:t>
      </w:r>
      <w:r w:rsidR="00342E96">
        <w:rPr>
          <w:rFonts w:ascii="Arial" w:hAnsi="Arial" w:cs="Arial"/>
          <w:sz w:val="22"/>
          <w:szCs w:val="22"/>
        </w:rPr>
        <w:t xml:space="preserve"> případné</w:t>
      </w:r>
      <w:r w:rsidR="00C86787">
        <w:rPr>
          <w:rFonts w:ascii="Arial" w:hAnsi="Arial" w:cs="Arial"/>
          <w:sz w:val="22"/>
          <w:szCs w:val="22"/>
        </w:rPr>
        <w:t xml:space="preserve"> </w:t>
      </w:r>
      <w:r w:rsidR="00E84763">
        <w:rPr>
          <w:rFonts w:ascii="Arial" w:hAnsi="Arial" w:cs="Arial"/>
          <w:sz w:val="22"/>
          <w:szCs w:val="22"/>
        </w:rPr>
        <w:t>další závazky a cenové regulace na subjekty provozující mobilní sítě b</w:t>
      </w:r>
      <w:r w:rsidR="00342E96">
        <w:rPr>
          <w:rFonts w:ascii="Arial" w:hAnsi="Arial" w:cs="Arial"/>
          <w:sz w:val="22"/>
          <w:szCs w:val="22"/>
        </w:rPr>
        <w:t>y měly</w:t>
      </w:r>
      <w:r w:rsidR="00E84763">
        <w:rPr>
          <w:rFonts w:ascii="Arial" w:hAnsi="Arial" w:cs="Arial"/>
          <w:sz w:val="22"/>
          <w:szCs w:val="22"/>
        </w:rPr>
        <w:t xml:space="preserve"> </w:t>
      </w:r>
      <w:r w:rsidR="00D2200E">
        <w:rPr>
          <w:rFonts w:ascii="Arial" w:hAnsi="Arial" w:cs="Arial"/>
          <w:sz w:val="22"/>
          <w:szCs w:val="22"/>
        </w:rPr>
        <w:t xml:space="preserve">právě </w:t>
      </w:r>
      <w:r w:rsidR="00E84763">
        <w:rPr>
          <w:rFonts w:ascii="Arial" w:hAnsi="Arial" w:cs="Arial"/>
          <w:sz w:val="22"/>
          <w:szCs w:val="22"/>
        </w:rPr>
        <w:t>opačný efekt, než který zamýšl</w:t>
      </w:r>
      <w:r w:rsidR="00342E96">
        <w:rPr>
          <w:rFonts w:ascii="Arial" w:hAnsi="Arial" w:cs="Arial"/>
          <w:sz w:val="22"/>
          <w:szCs w:val="22"/>
        </w:rPr>
        <w:t>í</w:t>
      </w:r>
      <w:r w:rsidR="00E84763">
        <w:rPr>
          <w:rFonts w:ascii="Arial" w:hAnsi="Arial" w:cs="Arial"/>
          <w:sz w:val="22"/>
          <w:szCs w:val="22"/>
        </w:rPr>
        <w:t xml:space="preserve"> ČTÚ.</w:t>
      </w:r>
    </w:p>
    <w:p w14:paraId="7A6D547C" w14:textId="4F4F07CA" w:rsidR="003A2CE4" w:rsidRDefault="003A2CE4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4EA5AFB" w14:textId="078DA682" w:rsidR="00412817" w:rsidRPr="000A7189" w:rsidRDefault="00412817" w:rsidP="00412817">
      <w:pPr>
        <w:pStyle w:val="Nadpis2"/>
        <w:rPr>
          <w:szCs w:val="26"/>
        </w:rPr>
      </w:pPr>
      <w:r>
        <w:rPr>
          <w:szCs w:val="26"/>
        </w:rPr>
        <w:t xml:space="preserve">Náležité zohlednění připomínek </w:t>
      </w:r>
      <w:r w:rsidR="0080672D">
        <w:rPr>
          <w:szCs w:val="26"/>
        </w:rPr>
        <w:t>Evropské komise a tržních subjektů účastnících se veřejné konzultace</w:t>
      </w:r>
    </w:p>
    <w:p w14:paraId="25EABC35" w14:textId="77777777" w:rsidR="003A2CE4" w:rsidRPr="002833BD" w:rsidRDefault="003A2CE4" w:rsidP="009C44E2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E0CE9E1" w14:textId="77777777" w:rsidR="00412817" w:rsidRPr="00E6618D" w:rsidRDefault="00412817" w:rsidP="00412817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10754065" w14:textId="77777777" w:rsidR="00412817" w:rsidRDefault="00412817" w:rsidP="0041281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D342C7E" w14:textId="1AE1727C" w:rsidR="00412817" w:rsidRPr="00952E1E" w:rsidRDefault="002952B3" w:rsidP="00412817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 </w:t>
      </w:r>
      <w:r w:rsidR="00C72459">
        <w:rPr>
          <w:rFonts w:ascii="Arial" w:hAnsi="Arial" w:cs="Arial"/>
          <w:b/>
          <w:sz w:val="22"/>
          <w:szCs w:val="22"/>
        </w:rPr>
        <w:t xml:space="preserve">vypracování nového </w:t>
      </w:r>
      <w:r>
        <w:rPr>
          <w:rFonts w:ascii="Arial" w:hAnsi="Arial" w:cs="Arial"/>
          <w:b/>
          <w:sz w:val="22"/>
          <w:szCs w:val="22"/>
        </w:rPr>
        <w:t xml:space="preserve">testu tří kritérií </w:t>
      </w:r>
      <w:r w:rsidR="009C3076">
        <w:rPr>
          <w:rFonts w:ascii="Arial" w:hAnsi="Arial" w:cs="Arial"/>
          <w:b/>
          <w:sz w:val="22"/>
          <w:szCs w:val="22"/>
        </w:rPr>
        <w:t xml:space="preserve">náležitě </w:t>
      </w:r>
      <w:r>
        <w:rPr>
          <w:rFonts w:ascii="Arial" w:hAnsi="Arial" w:cs="Arial"/>
          <w:b/>
          <w:sz w:val="22"/>
          <w:szCs w:val="22"/>
        </w:rPr>
        <w:t>vypořádat připomínky všech</w:t>
      </w:r>
      <w:r w:rsidR="00C72459">
        <w:rPr>
          <w:rFonts w:ascii="Arial" w:hAnsi="Arial" w:cs="Arial"/>
          <w:b/>
          <w:sz w:val="22"/>
          <w:szCs w:val="22"/>
        </w:rPr>
        <w:t xml:space="preserve"> připomínkujících subjektů a </w:t>
      </w:r>
      <w:r w:rsidR="009C3076">
        <w:rPr>
          <w:rFonts w:ascii="Arial" w:hAnsi="Arial" w:cs="Arial"/>
          <w:b/>
          <w:sz w:val="22"/>
          <w:szCs w:val="22"/>
        </w:rPr>
        <w:t>zahrnout jejich implikace do provedené analýzy.</w:t>
      </w:r>
    </w:p>
    <w:p w14:paraId="559BDAC1" w14:textId="77777777" w:rsidR="00412817" w:rsidRDefault="00412817" w:rsidP="00412817">
      <w:pPr>
        <w:ind w:firstLine="357"/>
        <w:rPr>
          <w:rFonts w:ascii="Arial" w:hAnsi="Arial" w:cs="Arial"/>
          <w:i/>
          <w:sz w:val="22"/>
          <w:szCs w:val="22"/>
        </w:rPr>
      </w:pPr>
    </w:p>
    <w:p w14:paraId="5723F70D" w14:textId="77777777" w:rsidR="00412817" w:rsidRDefault="00412817" w:rsidP="00412817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19C99EDE" w14:textId="77777777" w:rsidR="00412817" w:rsidRDefault="00412817" w:rsidP="00412817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0B5C050" w14:textId="7478CF37" w:rsidR="00D344AA" w:rsidRDefault="0080672D" w:rsidP="00412817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již bylo řečeno výše, společnost O2 nepovažuje vypořádání připomínek Komise a </w:t>
      </w:r>
      <w:r w:rsidR="006C74F3">
        <w:rPr>
          <w:rFonts w:ascii="Arial" w:hAnsi="Arial" w:cs="Arial"/>
          <w:sz w:val="22"/>
          <w:szCs w:val="22"/>
        </w:rPr>
        <w:t>tržních subjektů účastnících se veřejné konzultace za dostatečn</w:t>
      </w:r>
      <w:r w:rsidR="00C01941">
        <w:rPr>
          <w:rFonts w:ascii="Arial" w:hAnsi="Arial" w:cs="Arial"/>
          <w:sz w:val="22"/>
          <w:szCs w:val="22"/>
        </w:rPr>
        <w:t>é</w:t>
      </w:r>
      <w:r w:rsidR="006C74F3">
        <w:rPr>
          <w:rFonts w:ascii="Arial" w:hAnsi="Arial" w:cs="Arial"/>
          <w:sz w:val="22"/>
          <w:szCs w:val="22"/>
        </w:rPr>
        <w:t xml:space="preserve"> a v tomto smyslu přijateln</w:t>
      </w:r>
      <w:r w:rsidR="00C01941">
        <w:rPr>
          <w:rFonts w:ascii="Arial" w:hAnsi="Arial" w:cs="Arial"/>
          <w:sz w:val="22"/>
          <w:szCs w:val="22"/>
        </w:rPr>
        <w:t>é</w:t>
      </w:r>
      <w:r w:rsidR="006C74F3">
        <w:rPr>
          <w:rFonts w:ascii="Arial" w:hAnsi="Arial" w:cs="Arial"/>
          <w:sz w:val="22"/>
          <w:szCs w:val="22"/>
        </w:rPr>
        <w:t xml:space="preserve">. </w:t>
      </w:r>
    </w:p>
    <w:p w14:paraId="28247D2F" w14:textId="1AE34812" w:rsidR="00761A9F" w:rsidRDefault="00761A9F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F1A89FF" w14:textId="4439E5B0" w:rsidR="007C1C00" w:rsidRDefault="00C26443" w:rsidP="00412817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ČTÚ </w:t>
      </w:r>
      <w:r w:rsidR="003E7A2E">
        <w:rPr>
          <w:rFonts w:ascii="Arial" w:hAnsi="Arial" w:cs="Arial"/>
          <w:sz w:val="22"/>
          <w:szCs w:val="22"/>
        </w:rPr>
        <w:t xml:space="preserve">ve vypořádání připomínek ve veřejné konzultaci neakceptoval většinu zásadních připomínek </w:t>
      </w:r>
      <w:r w:rsidR="00451D4B">
        <w:rPr>
          <w:rFonts w:ascii="Arial" w:hAnsi="Arial" w:cs="Arial"/>
          <w:sz w:val="22"/>
          <w:szCs w:val="22"/>
        </w:rPr>
        <w:t xml:space="preserve">společnosti O2 ani dalších </w:t>
      </w:r>
      <w:r w:rsidR="003E7A2E">
        <w:rPr>
          <w:rFonts w:ascii="Arial" w:hAnsi="Arial" w:cs="Arial"/>
          <w:sz w:val="22"/>
          <w:szCs w:val="22"/>
        </w:rPr>
        <w:t>tržních subjektů</w:t>
      </w:r>
      <w:r w:rsidR="00D023B6">
        <w:rPr>
          <w:rFonts w:ascii="Arial" w:hAnsi="Arial" w:cs="Arial"/>
          <w:sz w:val="22"/>
          <w:szCs w:val="22"/>
        </w:rPr>
        <w:t xml:space="preserve">, a to často bez řádného </w:t>
      </w:r>
      <w:r w:rsidR="00451D4B">
        <w:rPr>
          <w:rFonts w:ascii="Arial" w:hAnsi="Arial" w:cs="Arial"/>
          <w:sz w:val="22"/>
          <w:szCs w:val="22"/>
        </w:rPr>
        <w:t xml:space="preserve">odůvodnění. </w:t>
      </w:r>
      <w:r w:rsidR="008E5D51">
        <w:rPr>
          <w:rFonts w:ascii="Arial" w:hAnsi="Arial" w:cs="Arial"/>
          <w:sz w:val="22"/>
          <w:szCs w:val="22"/>
        </w:rPr>
        <w:t>Vypořádán</w:t>
      </w:r>
      <w:r w:rsidR="00A54F4F">
        <w:rPr>
          <w:rFonts w:ascii="Arial" w:hAnsi="Arial" w:cs="Arial"/>
          <w:sz w:val="22"/>
          <w:szCs w:val="22"/>
        </w:rPr>
        <w:t xml:space="preserve">í by </w:t>
      </w:r>
      <w:r w:rsidR="00064B40">
        <w:rPr>
          <w:rFonts w:ascii="Arial" w:hAnsi="Arial" w:cs="Arial"/>
          <w:sz w:val="22"/>
          <w:szCs w:val="22"/>
        </w:rPr>
        <w:t xml:space="preserve">mělo objektivně zhodnotit připomínky daného </w:t>
      </w:r>
      <w:proofErr w:type="gramStart"/>
      <w:r w:rsidR="00064B40">
        <w:rPr>
          <w:rFonts w:ascii="Arial" w:hAnsi="Arial" w:cs="Arial"/>
          <w:sz w:val="22"/>
          <w:szCs w:val="22"/>
        </w:rPr>
        <w:t>subjektu</w:t>
      </w:r>
      <w:proofErr w:type="gramEnd"/>
      <w:r w:rsidR="00064B40">
        <w:rPr>
          <w:rFonts w:ascii="Arial" w:hAnsi="Arial" w:cs="Arial"/>
          <w:sz w:val="22"/>
          <w:szCs w:val="22"/>
        </w:rPr>
        <w:t xml:space="preserve"> </w:t>
      </w:r>
      <w:r w:rsidR="00F148DE">
        <w:rPr>
          <w:rFonts w:ascii="Arial" w:hAnsi="Arial" w:cs="Arial"/>
          <w:sz w:val="22"/>
          <w:szCs w:val="22"/>
        </w:rPr>
        <w:t xml:space="preserve">a </w:t>
      </w:r>
      <w:r w:rsidR="00F148DE">
        <w:rPr>
          <w:rFonts w:ascii="Arial" w:hAnsi="Arial" w:cs="Arial"/>
          <w:sz w:val="22"/>
          <w:szCs w:val="22"/>
        </w:rPr>
        <w:lastRenderedPageBreak/>
        <w:t xml:space="preserve">nikoliv </w:t>
      </w:r>
      <w:proofErr w:type="spellStart"/>
      <w:r w:rsidR="00F148DE">
        <w:rPr>
          <w:rFonts w:ascii="Arial" w:hAnsi="Arial" w:cs="Arial"/>
          <w:sz w:val="22"/>
          <w:szCs w:val="22"/>
        </w:rPr>
        <w:t>apriori</w:t>
      </w:r>
      <w:proofErr w:type="spellEnd"/>
      <w:r w:rsidR="00F148DE">
        <w:rPr>
          <w:rFonts w:ascii="Arial" w:hAnsi="Arial" w:cs="Arial"/>
          <w:sz w:val="22"/>
          <w:szCs w:val="22"/>
        </w:rPr>
        <w:t xml:space="preserve"> </w:t>
      </w:r>
      <w:r w:rsidR="007C1C00">
        <w:rPr>
          <w:rFonts w:ascii="Arial" w:hAnsi="Arial" w:cs="Arial"/>
          <w:sz w:val="22"/>
          <w:szCs w:val="22"/>
        </w:rPr>
        <w:t>odmítat jejich relevanci v případě, že odporují vytyčenému výsledku provedené analýzy.</w:t>
      </w:r>
      <w:r w:rsidR="00B40837">
        <w:rPr>
          <w:rFonts w:ascii="Arial" w:hAnsi="Arial" w:cs="Arial"/>
          <w:sz w:val="22"/>
          <w:szCs w:val="22"/>
        </w:rPr>
        <w:t xml:space="preserve"> </w:t>
      </w:r>
      <w:r w:rsidR="00CF695A">
        <w:rPr>
          <w:rFonts w:ascii="Arial" w:hAnsi="Arial" w:cs="Arial"/>
          <w:sz w:val="22"/>
          <w:szCs w:val="22"/>
        </w:rPr>
        <w:t xml:space="preserve">Komise pak ve svém Rozhodnutí </w:t>
      </w:r>
      <w:r w:rsidR="00E13213">
        <w:rPr>
          <w:rFonts w:ascii="Arial" w:hAnsi="Arial" w:cs="Arial"/>
          <w:sz w:val="22"/>
          <w:szCs w:val="22"/>
        </w:rPr>
        <w:t xml:space="preserve">zpochybňuje závěry ČTÚ faktickými poznámkami, a to ve všech třech kritériích. </w:t>
      </w:r>
      <w:r w:rsidR="00640445">
        <w:rPr>
          <w:rFonts w:ascii="Arial" w:hAnsi="Arial" w:cs="Arial"/>
          <w:sz w:val="22"/>
          <w:szCs w:val="22"/>
        </w:rPr>
        <w:t>ČTÚ</w:t>
      </w:r>
      <w:r w:rsidR="00512275">
        <w:rPr>
          <w:rFonts w:ascii="Arial" w:hAnsi="Arial" w:cs="Arial"/>
          <w:sz w:val="22"/>
          <w:szCs w:val="22"/>
        </w:rPr>
        <w:t xml:space="preserve"> </w:t>
      </w:r>
      <w:r w:rsidR="007D37C8">
        <w:rPr>
          <w:rFonts w:ascii="Arial" w:hAnsi="Arial" w:cs="Arial"/>
          <w:sz w:val="22"/>
          <w:szCs w:val="22"/>
        </w:rPr>
        <w:t xml:space="preserve">se přitom s těmito </w:t>
      </w:r>
      <w:r w:rsidR="000F79B2">
        <w:rPr>
          <w:rFonts w:ascii="Arial" w:hAnsi="Arial" w:cs="Arial"/>
          <w:sz w:val="22"/>
          <w:szCs w:val="22"/>
        </w:rPr>
        <w:t xml:space="preserve">připomínkami ve většině případech vůbec věcně nevypořádává a </w:t>
      </w:r>
      <w:r w:rsidR="001D24B9" w:rsidRPr="001D24B9">
        <w:rPr>
          <w:rFonts w:ascii="Arial" w:hAnsi="Arial" w:cs="Arial"/>
          <w:i/>
          <w:sz w:val="22"/>
          <w:szCs w:val="22"/>
        </w:rPr>
        <w:t>nadále zastává své stanovisko</w:t>
      </w:r>
      <w:r w:rsidR="001D24B9">
        <w:rPr>
          <w:rFonts w:ascii="Arial" w:hAnsi="Arial" w:cs="Arial"/>
          <w:sz w:val="22"/>
          <w:szCs w:val="22"/>
        </w:rPr>
        <w:t>.</w:t>
      </w:r>
      <w:r w:rsidR="002F2305">
        <w:rPr>
          <w:rFonts w:ascii="Arial" w:hAnsi="Arial" w:cs="Arial"/>
          <w:sz w:val="22"/>
          <w:szCs w:val="22"/>
        </w:rPr>
        <w:t xml:space="preserve"> </w:t>
      </w:r>
    </w:p>
    <w:p w14:paraId="2D08753A" w14:textId="3885F7D4" w:rsidR="001D24B9" w:rsidRDefault="001D24B9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6815DFB" w14:textId="0BE643CA" w:rsidR="001D24B9" w:rsidRDefault="00DC025E" w:rsidP="00412817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3C67D1">
        <w:rPr>
          <w:rFonts w:ascii="Arial" w:hAnsi="Arial" w:cs="Arial"/>
          <w:sz w:val="22"/>
          <w:szCs w:val="22"/>
        </w:rPr>
        <w:t>prvního kritéria Komise namítala</w:t>
      </w:r>
      <w:r w:rsidR="00DF5AF7">
        <w:rPr>
          <w:rFonts w:ascii="Arial" w:hAnsi="Arial" w:cs="Arial"/>
          <w:sz w:val="22"/>
          <w:szCs w:val="22"/>
        </w:rPr>
        <w:t xml:space="preserve">, že </w:t>
      </w:r>
      <w:r w:rsidR="004D5441">
        <w:rPr>
          <w:rFonts w:ascii="Arial" w:hAnsi="Arial" w:cs="Arial"/>
          <w:sz w:val="22"/>
          <w:szCs w:val="22"/>
        </w:rPr>
        <w:t>je na českém trhu mnoho MVNO a je umožněn vstup dalším zájemcům.</w:t>
      </w:r>
      <w:r w:rsidR="006D3E43">
        <w:rPr>
          <w:rFonts w:ascii="Arial" w:hAnsi="Arial" w:cs="Arial"/>
          <w:sz w:val="22"/>
          <w:szCs w:val="22"/>
        </w:rPr>
        <w:t xml:space="preserve"> ČTÚ proti této námitce </w:t>
      </w:r>
      <w:r w:rsidR="00CC0EC7">
        <w:rPr>
          <w:rFonts w:ascii="Arial" w:hAnsi="Arial" w:cs="Arial"/>
          <w:sz w:val="22"/>
          <w:szCs w:val="22"/>
        </w:rPr>
        <w:t xml:space="preserve">opět </w:t>
      </w:r>
      <w:r w:rsidR="006D3E43">
        <w:rPr>
          <w:rFonts w:ascii="Arial" w:hAnsi="Arial" w:cs="Arial"/>
          <w:sz w:val="22"/>
          <w:szCs w:val="22"/>
        </w:rPr>
        <w:t xml:space="preserve">argumentuje </w:t>
      </w:r>
      <w:r w:rsidR="009E3344">
        <w:rPr>
          <w:rFonts w:ascii="Arial" w:hAnsi="Arial" w:cs="Arial"/>
          <w:sz w:val="22"/>
          <w:szCs w:val="22"/>
        </w:rPr>
        <w:t>stagnujícím podílem MVNO na trhu</w:t>
      </w:r>
      <w:r w:rsidR="00F376E5">
        <w:rPr>
          <w:rFonts w:ascii="Arial" w:hAnsi="Arial" w:cs="Arial"/>
          <w:sz w:val="22"/>
          <w:szCs w:val="22"/>
        </w:rPr>
        <w:t xml:space="preserve">, který má </w:t>
      </w:r>
      <w:r w:rsidR="00F91C64">
        <w:rPr>
          <w:rFonts w:ascii="Arial" w:hAnsi="Arial" w:cs="Arial"/>
          <w:sz w:val="22"/>
          <w:szCs w:val="22"/>
        </w:rPr>
        <w:t xml:space="preserve">značit omezený </w:t>
      </w:r>
      <w:r w:rsidR="00BD7E0A">
        <w:rPr>
          <w:rFonts w:ascii="Arial" w:hAnsi="Arial" w:cs="Arial"/>
          <w:sz w:val="22"/>
          <w:szCs w:val="22"/>
        </w:rPr>
        <w:t>vliv na trh</w:t>
      </w:r>
      <w:r w:rsidR="00CC0EC7">
        <w:rPr>
          <w:rFonts w:ascii="Arial" w:hAnsi="Arial" w:cs="Arial"/>
          <w:sz w:val="22"/>
          <w:szCs w:val="22"/>
        </w:rPr>
        <w:t xml:space="preserve"> a</w:t>
      </w:r>
      <w:r w:rsidR="003D5190">
        <w:rPr>
          <w:rFonts w:ascii="Arial" w:hAnsi="Arial" w:cs="Arial"/>
          <w:sz w:val="22"/>
          <w:szCs w:val="22"/>
        </w:rPr>
        <w:t xml:space="preserve"> nereflektuje tedy připomínku Komise nad argumentační rámec stávajícího znění testu tří kritérií</w:t>
      </w:r>
      <w:r w:rsidR="00BD7E0A">
        <w:rPr>
          <w:rFonts w:ascii="Arial" w:hAnsi="Arial" w:cs="Arial"/>
          <w:sz w:val="22"/>
          <w:szCs w:val="22"/>
        </w:rPr>
        <w:t xml:space="preserve">. </w:t>
      </w:r>
      <w:r w:rsidR="008B0073">
        <w:rPr>
          <w:rFonts w:ascii="Arial" w:hAnsi="Arial" w:cs="Arial"/>
          <w:sz w:val="22"/>
          <w:szCs w:val="22"/>
        </w:rPr>
        <w:t xml:space="preserve">Z grafů zobrazujících </w:t>
      </w:r>
      <w:r w:rsidR="00277725">
        <w:rPr>
          <w:rFonts w:ascii="Arial" w:hAnsi="Arial" w:cs="Arial"/>
          <w:sz w:val="22"/>
          <w:szCs w:val="22"/>
        </w:rPr>
        <w:t xml:space="preserve">maloobchodní podíly síťových operátorů přitom jasně vyplývá, že </w:t>
      </w:r>
      <w:r w:rsidR="00353900">
        <w:rPr>
          <w:rFonts w:ascii="Arial" w:hAnsi="Arial" w:cs="Arial"/>
          <w:sz w:val="22"/>
          <w:szCs w:val="22"/>
        </w:rPr>
        <w:t xml:space="preserve">podíl na trhu některých z těchto operátorů poklesl a </w:t>
      </w:r>
      <w:r w:rsidR="003B5579">
        <w:rPr>
          <w:rFonts w:ascii="Arial" w:hAnsi="Arial" w:cs="Arial"/>
          <w:sz w:val="22"/>
          <w:szCs w:val="22"/>
        </w:rPr>
        <w:t>stagnující podíl MVNO v letech 2016-2018</w:t>
      </w:r>
      <w:r w:rsidR="006348F5">
        <w:rPr>
          <w:rFonts w:ascii="Arial" w:hAnsi="Arial" w:cs="Arial"/>
          <w:sz w:val="22"/>
          <w:szCs w:val="22"/>
        </w:rPr>
        <w:t xml:space="preserve"> tak</w:t>
      </w:r>
      <w:r w:rsidR="003B5579">
        <w:rPr>
          <w:rFonts w:ascii="Arial" w:hAnsi="Arial" w:cs="Arial"/>
          <w:sz w:val="22"/>
          <w:szCs w:val="22"/>
        </w:rPr>
        <w:t xml:space="preserve"> n</w:t>
      </w:r>
      <w:r w:rsidR="00B51691">
        <w:rPr>
          <w:rFonts w:ascii="Arial" w:hAnsi="Arial" w:cs="Arial"/>
          <w:sz w:val="22"/>
          <w:szCs w:val="22"/>
        </w:rPr>
        <w:t>utně</w:t>
      </w:r>
      <w:r w:rsidR="00D30ECB">
        <w:rPr>
          <w:rFonts w:ascii="Arial" w:hAnsi="Arial" w:cs="Arial"/>
          <w:sz w:val="22"/>
          <w:szCs w:val="22"/>
        </w:rPr>
        <w:t xml:space="preserve"> nemusí značit </w:t>
      </w:r>
      <w:r w:rsidR="000F1131">
        <w:rPr>
          <w:rFonts w:ascii="Arial" w:hAnsi="Arial" w:cs="Arial"/>
          <w:sz w:val="22"/>
          <w:szCs w:val="22"/>
        </w:rPr>
        <w:t>omezenou možnost se rozvíjet</w:t>
      </w:r>
      <w:r w:rsidR="006348F5">
        <w:rPr>
          <w:rFonts w:ascii="Arial" w:hAnsi="Arial" w:cs="Arial"/>
          <w:sz w:val="22"/>
          <w:szCs w:val="22"/>
        </w:rPr>
        <w:t xml:space="preserve">, ale naopak úspěšné </w:t>
      </w:r>
      <w:r w:rsidR="007B281E">
        <w:rPr>
          <w:rFonts w:ascii="Arial" w:hAnsi="Arial" w:cs="Arial"/>
          <w:sz w:val="22"/>
          <w:szCs w:val="22"/>
        </w:rPr>
        <w:t>udržení zákaznické báze v dynamicky konkurenčním prostředí</w:t>
      </w:r>
      <w:r w:rsidR="000F1131">
        <w:rPr>
          <w:rFonts w:ascii="Arial" w:hAnsi="Arial" w:cs="Arial"/>
          <w:sz w:val="22"/>
          <w:szCs w:val="22"/>
        </w:rPr>
        <w:t>.</w:t>
      </w:r>
    </w:p>
    <w:p w14:paraId="0E8C7931" w14:textId="3E121375" w:rsidR="007B281E" w:rsidRDefault="007B281E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9155FF5" w14:textId="5506E30E" w:rsidR="00D51C2A" w:rsidRDefault="00C4769D" w:rsidP="00D51C2A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druhému kritériu pak Komise namítá, že </w:t>
      </w:r>
      <w:r w:rsidR="00FF7D21" w:rsidRPr="00FF7D21">
        <w:rPr>
          <w:rFonts w:ascii="Arial" w:hAnsi="Arial" w:cs="Arial"/>
          <w:sz w:val="22"/>
          <w:szCs w:val="22"/>
        </w:rPr>
        <w:t>MVNO zvýšili během 5 let (v období 2013 až 2018) svůj tržní podíl z 0 % na 7,7 %</w:t>
      </w:r>
      <w:r w:rsidR="00BA7D7C">
        <w:rPr>
          <w:rFonts w:ascii="Arial" w:hAnsi="Arial" w:cs="Arial"/>
          <w:sz w:val="22"/>
          <w:szCs w:val="22"/>
        </w:rPr>
        <w:t>.</w:t>
      </w:r>
      <w:r w:rsidR="00F51F1D">
        <w:rPr>
          <w:rFonts w:ascii="Arial" w:hAnsi="Arial" w:cs="Arial"/>
          <w:sz w:val="22"/>
          <w:szCs w:val="22"/>
        </w:rPr>
        <w:t xml:space="preserve"> </w:t>
      </w:r>
      <w:r w:rsidR="00F728F9">
        <w:rPr>
          <w:rFonts w:ascii="Arial" w:hAnsi="Arial" w:cs="Arial"/>
          <w:sz w:val="22"/>
          <w:szCs w:val="22"/>
        </w:rPr>
        <w:t>V tomto případě ČTÚ argumentuje</w:t>
      </w:r>
      <w:r w:rsidR="00130EBA">
        <w:rPr>
          <w:rFonts w:ascii="Arial" w:hAnsi="Arial" w:cs="Arial"/>
          <w:sz w:val="22"/>
          <w:szCs w:val="22"/>
        </w:rPr>
        <w:t xml:space="preserve">, že se nárůst týká jen dílčího segmentu A, kdežto v segmentu B (mobilní internet) </w:t>
      </w:r>
      <w:r w:rsidR="00FD7F83">
        <w:rPr>
          <w:rFonts w:ascii="Arial" w:hAnsi="Arial" w:cs="Arial"/>
          <w:sz w:val="22"/>
          <w:szCs w:val="22"/>
        </w:rPr>
        <w:t>dosahují MVNO podílu pouze 1,1 %.</w:t>
      </w:r>
      <w:r w:rsidR="006B20CB">
        <w:rPr>
          <w:rFonts w:ascii="Arial" w:hAnsi="Arial" w:cs="Arial"/>
          <w:sz w:val="22"/>
          <w:szCs w:val="22"/>
        </w:rPr>
        <w:t xml:space="preserve"> Důvodem může být to, že</w:t>
      </w:r>
      <w:r w:rsidR="00ED0A98">
        <w:rPr>
          <w:rFonts w:ascii="Arial" w:hAnsi="Arial" w:cs="Arial"/>
          <w:sz w:val="22"/>
          <w:szCs w:val="22"/>
        </w:rPr>
        <w:t xml:space="preserve"> </w:t>
      </w:r>
      <w:r w:rsidR="006B20CB">
        <w:rPr>
          <w:rFonts w:ascii="Arial" w:hAnsi="Arial" w:cs="Arial"/>
          <w:sz w:val="22"/>
          <w:szCs w:val="22"/>
        </w:rPr>
        <w:t>s</w:t>
      </w:r>
      <w:r w:rsidR="00795516">
        <w:rPr>
          <w:rFonts w:ascii="Arial" w:hAnsi="Arial" w:cs="Arial"/>
          <w:sz w:val="22"/>
          <w:szCs w:val="22"/>
        </w:rPr>
        <w:t>egment B je dlouhodobě klesajícím trhem, jehož význam na českém trhu nadále klesá a je substituován, jak segmentem A, tak</w:t>
      </w:r>
      <w:r w:rsidR="002B07DA">
        <w:rPr>
          <w:rFonts w:ascii="Arial" w:hAnsi="Arial" w:cs="Arial"/>
          <w:sz w:val="22"/>
          <w:szCs w:val="22"/>
        </w:rPr>
        <w:t xml:space="preserve"> </w:t>
      </w:r>
      <w:r w:rsidR="00EC1E45">
        <w:rPr>
          <w:rFonts w:ascii="Arial" w:hAnsi="Arial" w:cs="Arial"/>
          <w:sz w:val="22"/>
          <w:szCs w:val="22"/>
        </w:rPr>
        <w:t>tzv. fixním LTE.</w:t>
      </w:r>
      <w:r w:rsidR="006B20CB">
        <w:rPr>
          <w:rFonts w:ascii="Arial" w:hAnsi="Arial" w:cs="Arial"/>
          <w:sz w:val="22"/>
          <w:szCs w:val="22"/>
        </w:rPr>
        <w:t xml:space="preserve"> </w:t>
      </w:r>
      <w:r w:rsidR="00A26836">
        <w:rPr>
          <w:rFonts w:ascii="Arial" w:hAnsi="Arial" w:cs="Arial"/>
          <w:sz w:val="22"/>
          <w:szCs w:val="22"/>
        </w:rPr>
        <w:t>Důkazem relativně nižší významnosti tohoto trhu může být také to, že na tomto trhu dosahuje dlouhodobě nízkého podílu i jeden ze síťových operátorů</w:t>
      </w:r>
      <w:r w:rsidR="003E2356">
        <w:rPr>
          <w:rFonts w:ascii="Arial" w:hAnsi="Arial" w:cs="Arial"/>
          <w:sz w:val="22"/>
          <w:szCs w:val="22"/>
        </w:rPr>
        <w:t xml:space="preserve">, který pravděpodobně nespatřuje důvod </w:t>
      </w:r>
      <w:r w:rsidR="000B280B">
        <w:rPr>
          <w:rFonts w:ascii="Arial" w:hAnsi="Arial" w:cs="Arial"/>
          <w:sz w:val="22"/>
          <w:szCs w:val="22"/>
        </w:rPr>
        <w:t>pro vyšší profilaci na tomto trhu</w:t>
      </w:r>
      <w:r w:rsidR="009D3528">
        <w:rPr>
          <w:rFonts w:ascii="Arial" w:hAnsi="Arial" w:cs="Arial"/>
          <w:sz w:val="22"/>
          <w:szCs w:val="22"/>
        </w:rPr>
        <w:t xml:space="preserve">. I přestože jde o </w:t>
      </w:r>
      <w:r w:rsidR="00F16F78">
        <w:rPr>
          <w:rFonts w:ascii="Arial" w:hAnsi="Arial" w:cs="Arial"/>
          <w:sz w:val="22"/>
          <w:szCs w:val="22"/>
        </w:rPr>
        <w:t>klesající trh,</w:t>
      </w:r>
      <w:r w:rsidR="009D3528">
        <w:rPr>
          <w:rFonts w:ascii="Arial" w:hAnsi="Arial" w:cs="Arial"/>
          <w:sz w:val="22"/>
          <w:szCs w:val="22"/>
        </w:rPr>
        <w:t xml:space="preserve"> lze na </w:t>
      </w:r>
      <w:r w:rsidR="00F16F78">
        <w:rPr>
          <w:rFonts w:ascii="Arial" w:hAnsi="Arial" w:cs="Arial"/>
          <w:sz w:val="22"/>
          <w:szCs w:val="22"/>
        </w:rPr>
        <w:t>něm</w:t>
      </w:r>
      <w:r w:rsidR="009D3528">
        <w:rPr>
          <w:rFonts w:ascii="Arial" w:hAnsi="Arial" w:cs="Arial"/>
          <w:sz w:val="22"/>
          <w:szCs w:val="22"/>
        </w:rPr>
        <w:t xml:space="preserve"> </w:t>
      </w:r>
      <w:r w:rsidR="00F16F78">
        <w:rPr>
          <w:rFonts w:ascii="Arial" w:hAnsi="Arial" w:cs="Arial"/>
          <w:sz w:val="22"/>
          <w:szCs w:val="22"/>
        </w:rPr>
        <w:t xml:space="preserve">pravidelně </w:t>
      </w:r>
      <w:r w:rsidR="009D3528">
        <w:rPr>
          <w:rFonts w:ascii="Arial" w:hAnsi="Arial" w:cs="Arial"/>
          <w:sz w:val="22"/>
          <w:szCs w:val="22"/>
        </w:rPr>
        <w:t xml:space="preserve">pozorovat </w:t>
      </w:r>
      <w:r w:rsidR="002F422F">
        <w:rPr>
          <w:rFonts w:ascii="Arial" w:hAnsi="Arial" w:cs="Arial"/>
          <w:sz w:val="22"/>
          <w:szCs w:val="22"/>
        </w:rPr>
        <w:t xml:space="preserve">významný </w:t>
      </w:r>
      <w:r w:rsidR="00F16F78">
        <w:rPr>
          <w:rFonts w:ascii="Arial" w:hAnsi="Arial" w:cs="Arial"/>
          <w:sz w:val="22"/>
          <w:szCs w:val="22"/>
        </w:rPr>
        <w:t xml:space="preserve">konkurenční tlak MVNO. </w:t>
      </w:r>
      <w:r w:rsidR="002F422F">
        <w:rPr>
          <w:rFonts w:ascii="Arial" w:hAnsi="Arial" w:cs="Arial"/>
          <w:sz w:val="22"/>
          <w:szCs w:val="22"/>
        </w:rPr>
        <w:t>V</w:t>
      </w:r>
      <w:r w:rsidR="004962F5">
        <w:rPr>
          <w:rFonts w:ascii="Arial" w:hAnsi="Arial" w:cs="Arial"/>
          <w:sz w:val="22"/>
          <w:szCs w:val="22"/>
        </w:rPr>
        <w:t xml:space="preserve"> poslední době se jedná například o agresivní nabídku jednoho z virtuálních operátorů, který ji </w:t>
      </w:r>
      <w:r w:rsidR="008D1616">
        <w:rPr>
          <w:rFonts w:ascii="Arial" w:hAnsi="Arial" w:cs="Arial"/>
          <w:sz w:val="22"/>
          <w:szCs w:val="22"/>
        </w:rPr>
        <w:t xml:space="preserve">dokonce </w:t>
      </w:r>
      <w:r w:rsidR="004962F5">
        <w:rPr>
          <w:rFonts w:ascii="Arial" w:hAnsi="Arial" w:cs="Arial"/>
          <w:sz w:val="22"/>
          <w:szCs w:val="22"/>
        </w:rPr>
        <w:t xml:space="preserve">označil za </w:t>
      </w:r>
      <w:r w:rsidR="00326E6A">
        <w:rPr>
          <w:rFonts w:ascii="Arial" w:hAnsi="Arial" w:cs="Arial"/>
          <w:i/>
          <w:sz w:val="22"/>
          <w:szCs w:val="22"/>
        </w:rPr>
        <w:t>n</w:t>
      </w:r>
      <w:r w:rsidR="00326E6A" w:rsidRPr="00326E6A">
        <w:rPr>
          <w:rFonts w:ascii="Arial" w:hAnsi="Arial" w:cs="Arial"/>
          <w:i/>
          <w:sz w:val="22"/>
          <w:szCs w:val="22"/>
        </w:rPr>
        <w:t>ejlevnější Mobilní internet bez závazku na trhu</w:t>
      </w:r>
      <w:r w:rsidR="00326E6A">
        <w:rPr>
          <w:rFonts w:ascii="Arial" w:hAnsi="Arial" w:cs="Arial"/>
          <w:sz w:val="22"/>
          <w:szCs w:val="22"/>
        </w:rPr>
        <w:t>.</w:t>
      </w:r>
    </w:p>
    <w:p w14:paraId="3F83D157" w14:textId="3F02BFE3" w:rsidR="00326E6A" w:rsidRDefault="00326E6A" w:rsidP="00D51C2A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78833AA" w14:textId="1B1276DC" w:rsidR="00326E6A" w:rsidRDefault="00F65274" w:rsidP="00D51C2A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další n</w:t>
      </w:r>
      <w:r w:rsidR="00377297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m</w:t>
      </w:r>
      <w:r w:rsidR="0037729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tce Komise, a to </w:t>
      </w:r>
      <w:r w:rsidR="00B635F1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diskrepanc</w:t>
      </w:r>
      <w:r w:rsidR="00B635F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mezi výsledky testu tří kritérií </w:t>
      </w:r>
      <w:r w:rsidR="00377297">
        <w:rPr>
          <w:rFonts w:ascii="Arial" w:hAnsi="Arial" w:cs="Arial"/>
          <w:sz w:val="22"/>
          <w:szCs w:val="22"/>
        </w:rPr>
        <w:t>trhu č. 8 v roce 2016 a testu tří kritérií</w:t>
      </w:r>
      <w:r w:rsidR="00B635F1">
        <w:rPr>
          <w:rFonts w:ascii="Arial" w:hAnsi="Arial" w:cs="Arial"/>
          <w:sz w:val="22"/>
          <w:szCs w:val="22"/>
        </w:rPr>
        <w:t xml:space="preserve"> v roce 2017</w:t>
      </w:r>
      <w:r w:rsidR="00DE4A5B">
        <w:rPr>
          <w:rFonts w:ascii="Arial" w:hAnsi="Arial" w:cs="Arial"/>
          <w:sz w:val="22"/>
          <w:szCs w:val="22"/>
        </w:rPr>
        <w:t xml:space="preserve"> ČTÚ mimo jiné uvedl, </w:t>
      </w:r>
      <w:r w:rsidR="00496D8D" w:rsidRPr="00496D8D">
        <w:rPr>
          <w:rFonts w:ascii="Arial" w:hAnsi="Arial" w:cs="Arial"/>
          <w:sz w:val="22"/>
          <w:szCs w:val="22"/>
        </w:rPr>
        <w:t xml:space="preserve">že </w:t>
      </w:r>
      <w:r w:rsidR="00496D8D">
        <w:rPr>
          <w:rFonts w:ascii="Arial" w:hAnsi="Arial" w:cs="Arial"/>
          <w:sz w:val="22"/>
          <w:szCs w:val="22"/>
        </w:rPr>
        <w:t>„</w:t>
      </w:r>
      <w:r w:rsidR="00496D8D" w:rsidRPr="00A956D4">
        <w:rPr>
          <w:rFonts w:ascii="Arial" w:hAnsi="Arial" w:cs="Arial"/>
          <w:i/>
          <w:sz w:val="22"/>
          <w:szCs w:val="22"/>
        </w:rPr>
        <w:t xml:space="preserve">se od té doby </w:t>
      </w:r>
      <w:r w:rsidR="00A956D4" w:rsidRPr="00A956D4">
        <w:rPr>
          <w:rFonts w:ascii="Arial" w:hAnsi="Arial" w:cs="Arial"/>
          <w:i/>
          <w:sz w:val="22"/>
          <w:szCs w:val="22"/>
          <w:lang w:val="en-US"/>
        </w:rPr>
        <w:t>[2016]</w:t>
      </w:r>
      <w:r w:rsidR="00496D8D" w:rsidRPr="00A956D4">
        <w:rPr>
          <w:rFonts w:ascii="Arial" w:hAnsi="Arial" w:cs="Arial"/>
          <w:i/>
          <w:sz w:val="22"/>
          <w:szCs w:val="22"/>
        </w:rPr>
        <w:t xml:space="preserve"> situace nezlepšila a cenová hladina mobilních služeb v České republice patří nadále mezi nejvyšší v EU“</w:t>
      </w:r>
      <w:r w:rsidR="00A956D4">
        <w:rPr>
          <w:rFonts w:ascii="Arial" w:hAnsi="Arial" w:cs="Arial"/>
          <w:i/>
          <w:sz w:val="22"/>
          <w:szCs w:val="22"/>
        </w:rPr>
        <w:t xml:space="preserve">. </w:t>
      </w:r>
      <w:r w:rsidR="00A956D4">
        <w:rPr>
          <w:rFonts w:ascii="Arial" w:hAnsi="Arial" w:cs="Arial"/>
          <w:sz w:val="22"/>
          <w:szCs w:val="22"/>
        </w:rPr>
        <w:t xml:space="preserve">Společnost O2 přitom dlouhodobě upozorňuje, že </w:t>
      </w:r>
      <w:r w:rsidR="009F5916">
        <w:rPr>
          <w:rFonts w:ascii="Arial" w:hAnsi="Arial" w:cs="Arial"/>
          <w:sz w:val="22"/>
          <w:szCs w:val="22"/>
        </w:rPr>
        <w:t>mezinárodní srovnání ceníkových cen mají v případě České republiky nízkou relevanci</w:t>
      </w:r>
      <w:r w:rsidR="003D39F9">
        <w:rPr>
          <w:rFonts w:ascii="Arial" w:hAnsi="Arial" w:cs="Arial"/>
          <w:sz w:val="22"/>
          <w:szCs w:val="22"/>
        </w:rPr>
        <w:t xml:space="preserve">, a to především </w:t>
      </w:r>
      <w:r w:rsidR="00C05014">
        <w:rPr>
          <w:rFonts w:ascii="Arial" w:hAnsi="Arial" w:cs="Arial"/>
          <w:sz w:val="22"/>
          <w:szCs w:val="22"/>
        </w:rPr>
        <w:t xml:space="preserve">v souvislosti s existencí vysoké míry retenčních a jinak </w:t>
      </w:r>
      <w:r w:rsidR="003712C4">
        <w:rPr>
          <w:rFonts w:ascii="Arial" w:hAnsi="Arial" w:cs="Arial"/>
          <w:sz w:val="22"/>
          <w:szCs w:val="22"/>
        </w:rPr>
        <w:t>zlevněných tarifních nabídek</w:t>
      </w:r>
      <w:r w:rsidR="00AB0669">
        <w:rPr>
          <w:rFonts w:ascii="Arial" w:hAnsi="Arial" w:cs="Arial"/>
          <w:sz w:val="22"/>
          <w:szCs w:val="22"/>
        </w:rPr>
        <w:t>, šedých operátorů</w:t>
      </w:r>
      <w:r w:rsidR="0044036C" w:rsidRPr="0044036C">
        <w:rPr>
          <w:rFonts w:ascii="Arial" w:hAnsi="Arial" w:cs="Arial"/>
          <w:sz w:val="22"/>
          <w:szCs w:val="22"/>
        </w:rPr>
        <w:t xml:space="preserve"> </w:t>
      </w:r>
      <w:r w:rsidR="0044036C">
        <w:rPr>
          <w:rFonts w:ascii="Arial" w:hAnsi="Arial" w:cs="Arial"/>
          <w:sz w:val="22"/>
          <w:szCs w:val="22"/>
        </w:rPr>
        <w:t>a tzv. balíčků.</w:t>
      </w:r>
      <w:r w:rsidR="0013610B">
        <w:rPr>
          <w:rFonts w:ascii="Arial" w:hAnsi="Arial" w:cs="Arial"/>
          <w:sz w:val="22"/>
          <w:szCs w:val="22"/>
        </w:rPr>
        <w:t xml:space="preserve"> O tom vypovídá například </w:t>
      </w:r>
      <w:r w:rsidR="0058295A">
        <w:rPr>
          <w:rFonts w:ascii="Arial" w:hAnsi="Arial" w:cs="Arial"/>
          <w:sz w:val="22"/>
          <w:szCs w:val="22"/>
        </w:rPr>
        <w:t>průměrné ARPU mobilních služeb v České republice</w:t>
      </w:r>
      <w:r w:rsidR="00D60C6A">
        <w:rPr>
          <w:rFonts w:ascii="Arial" w:hAnsi="Arial" w:cs="Arial"/>
          <w:sz w:val="22"/>
          <w:szCs w:val="22"/>
        </w:rPr>
        <w:t xml:space="preserve"> Od data zpracování testu tří kritérií </w:t>
      </w:r>
      <w:r w:rsidR="0013610B">
        <w:rPr>
          <w:rFonts w:ascii="Arial" w:hAnsi="Arial" w:cs="Arial"/>
          <w:sz w:val="22"/>
          <w:szCs w:val="22"/>
        </w:rPr>
        <w:t>navíc došlo k dalšímu dynamickému vývoji tarifních nabídek na trhu vč. trhu velkoobchodního</w:t>
      </w:r>
      <w:r w:rsidR="006F7B83">
        <w:rPr>
          <w:rFonts w:ascii="Arial" w:hAnsi="Arial" w:cs="Arial"/>
          <w:sz w:val="22"/>
          <w:szCs w:val="22"/>
        </w:rPr>
        <w:t xml:space="preserve"> a tvrzení jednoznačně neodráží realitu.</w:t>
      </w:r>
    </w:p>
    <w:p w14:paraId="2E66A379" w14:textId="329A32B9" w:rsidR="006F7B83" w:rsidRDefault="006F7B83" w:rsidP="00D51C2A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098ADE9" w14:textId="0D5172DB" w:rsidR="006F7B83" w:rsidRDefault="0052240E" w:rsidP="00D51C2A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ČTÚ </w:t>
      </w:r>
      <w:r w:rsidR="00344A36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v rámci </w:t>
      </w:r>
      <w:r w:rsidR="00DB0BC4" w:rsidRPr="00DB0BC4">
        <w:rPr>
          <w:rFonts w:ascii="Arial" w:hAnsi="Arial" w:cs="Arial"/>
          <w:sz w:val="22"/>
          <w:szCs w:val="22"/>
        </w:rPr>
        <w:t>opatření obecné povahy</w:t>
      </w:r>
      <w:r w:rsidR="00D00419">
        <w:rPr>
          <w:rFonts w:ascii="Arial" w:hAnsi="Arial" w:cs="Arial"/>
          <w:sz w:val="22"/>
          <w:szCs w:val="22"/>
        </w:rPr>
        <w:t xml:space="preserve"> </w:t>
      </w:r>
      <w:r w:rsidR="00FA3CC0">
        <w:rPr>
          <w:rFonts w:ascii="Arial" w:hAnsi="Arial" w:cs="Arial"/>
          <w:sz w:val="22"/>
          <w:szCs w:val="22"/>
        </w:rPr>
        <w:t xml:space="preserve">nevypořádal </w:t>
      </w:r>
      <w:r w:rsidR="000F0ED0">
        <w:rPr>
          <w:rFonts w:ascii="Arial" w:hAnsi="Arial" w:cs="Arial"/>
          <w:sz w:val="22"/>
          <w:szCs w:val="22"/>
        </w:rPr>
        <w:t xml:space="preserve">s připomínkami Komise a pouze zopakoval argumenty, které </w:t>
      </w:r>
      <w:r w:rsidR="00F6303B">
        <w:rPr>
          <w:rFonts w:ascii="Arial" w:hAnsi="Arial" w:cs="Arial"/>
          <w:sz w:val="22"/>
          <w:szCs w:val="22"/>
        </w:rPr>
        <w:t xml:space="preserve">již byly součástí </w:t>
      </w:r>
      <w:r w:rsidR="006B75E8">
        <w:rPr>
          <w:rFonts w:ascii="Arial" w:hAnsi="Arial" w:cs="Arial"/>
          <w:sz w:val="22"/>
          <w:szCs w:val="22"/>
        </w:rPr>
        <w:t>připomínkov</w:t>
      </w:r>
      <w:r w:rsidR="00E22927">
        <w:rPr>
          <w:rFonts w:ascii="Arial" w:hAnsi="Arial" w:cs="Arial"/>
          <w:sz w:val="22"/>
          <w:szCs w:val="22"/>
        </w:rPr>
        <w:t>aného testu tří kritérií.</w:t>
      </w:r>
      <w:r w:rsidR="00DF6B28">
        <w:rPr>
          <w:rFonts w:ascii="Arial" w:hAnsi="Arial" w:cs="Arial"/>
          <w:sz w:val="22"/>
          <w:szCs w:val="22"/>
        </w:rPr>
        <w:t xml:space="preserve"> Jsme přesvědčeni, že </w:t>
      </w:r>
      <w:r w:rsidR="00AF4192">
        <w:rPr>
          <w:rFonts w:ascii="Arial" w:hAnsi="Arial" w:cs="Arial"/>
          <w:sz w:val="22"/>
          <w:szCs w:val="22"/>
        </w:rPr>
        <w:t xml:space="preserve">by </w:t>
      </w:r>
      <w:r w:rsidR="00A94E2F">
        <w:rPr>
          <w:rFonts w:ascii="Arial" w:hAnsi="Arial" w:cs="Arial"/>
          <w:sz w:val="22"/>
          <w:szCs w:val="22"/>
        </w:rPr>
        <w:t xml:space="preserve">se v případě </w:t>
      </w:r>
      <w:r w:rsidR="00AF4192">
        <w:rPr>
          <w:rFonts w:ascii="Arial" w:hAnsi="Arial" w:cs="Arial"/>
          <w:sz w:val="22"/>
          <w:szCs w:val="22"/>
        </w:rPr>
        <w:t>pokračování procesu regulace definovaného trhu vyplnily obavy Komise</w:t>
      </w:r>
      <w:r w:rsidR="007F4792">
        <w:rPr>
          <w:rFonts w:ascii="Arial" w:hAnsi="Arial" w:cs="Arial"/>
          <w:sz w:val="22"/>
          <w:szCs w:val="22"/>
        </w:rPr>
        <w:t xml:space="preserve"> a </w:t>
      </w:r>
      <w:r w:rsidR="007F4792" w:rsidRPr="007F4792">
        <w:rPr>
          <w:rFonts w:ascii="Arial" w:hAnsi="Arial" w:cs="Arial"/>
          <w:i/>
          <w:sz w:val="22"/>
          <w:szCs w:val="22"/>
        </w:rPr>
        <w:t>„posouzení ČTÚ týkající se tří kritérií by ve stávající podobě nestačilo na podporu zjištění významné tržní síly na trhu v pozdější fázi.“</w:t>
      </w:r>
    </w:p>
    <w:p w14:paraId="08AFE153" w14:textId="5E63F59B" w:rsidR="007F4792" w:rsidRDefault="007F4792" w:rsidP="00D51C2A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BD22DF3" w14:textId="77777777" w:rsidR="007F4792" w:rsidRPr="007F4792" w:rsidRDefault="007F4792" w:rsidP="00D51C2A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A248E40" w14:textId="27C29A8A" w:rsidR="009C3076" w:rsidRPr="000A7189" w:rsidRDefault="009C3076" w:rsidP="009C3076">
      <w:pPr>
        <w:pStyle w:val="Nadpis2"/>
        <w:rPr>
          <w:szCs w:val="26"/>
        </w:rPr>
      </w:pPr>
      <w:r>
        <w:rPr>
          <w:szCs w:val="26"/>
        </w:rPr>
        <w:t>Neaktuálnost provedeného testu tří kritérií</w:t>
      </w:r>
    </w:p>
    <w:p w14:paraId="0771ECA5" w14:textId="77777777" w:rsidR="009C3076" w:rsidRPr="002833BD" w:rsidRDefault="009C3076" w:rsidP="009C3076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8901CAE" w14:textId="77777777" w:rsidR="009C3076" w:rsidRPr="00E6618D" w:rsidRDefault="009C3076" w:rsidP="009C3076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0BA91588" w14:textId="77777777" w:rsidR="009C3076" w:rsidRDefault="009C3076" w:rsidP="009C3076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0ABBF78" w14:textId="7F52A897" w:rsidR="009C3076" w:rsidRPr="00952E1E" w:rsidRDefault="001F0984" w:rsidP="009C3076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Zohlednit dlouhou dobu od zpracování testu tři kritérií a </w:t>
      </w:r>
      <w:r w:rsidR="00A00351">
        <w:rPr>
          <w:rFonts w:ascii="Arial" w:hAnsi="Arial" w:cs="Arial"/>
          <w:b/>
          <w:sz w:val="22"/>
          <w:szCs w:val="22"/>
        </w:rPr>
        <w:t>předpokládaným ukončením analýzy nově definovaného relevantního trhu a vypracovat nový test tří kritérií odrážející sou</w:t>
      </w:r>
      <w:r w:rsidR="004227EA">
        <w:rPr>
          <w:rFonts w:ascii="Arial" w:hAnsi="Arial" w:cs="Arial"/>
          <w:b/>
          <w:sz w:val="22"/>
          <w:szCs w:val="22"/>
        </w:rPr>
        <w:t>č</w:t>
      </w:r>
      <w:r w:rsidR="00A00351">
        <w:rPr>
          <w:rFonts w:ascii="Arial" w:hAnsi="Arial" w:cs="Arial"/>
          <w:b/>
          <w:sz w:val="22"/>
          <w:szCs w:val="22"/>
        </w:rPr>
        <w:t xml:space="preserve">asnou situaci na </w:t>
      </w:r>
      <w:r w:rsidR="004227EA">
        <w:rPr>
          <w:rFonts w:ascii="Arial" w:hAnsi="Arial" w:cs="Arial"/>
          <w:b/>
          <w:sz w:val="22"/>
          <w:szCs w:val="22"/>
        </w:rPr>
        <w:t>trhu mobilních služeb.</w:t>
      </w:r>
      <w:r w:rsidR="00A00351">
        <w:rPr>
          <w:rFonts w:ascii="Arial" w:hAnsi="Arial" w:cs="Arial"/>
          <w:b/>
          <w:sz w:val="22"/>
          <w:szCs w:val="22"/>
        </w:rPr>
        <w:t xml:space="preserve"> </w:t>
      </w:r>
    </w:p>
    <w:p w14:paraId="07DD6039" w14:textId="77777777" w:rsidR="009C3076" w:rsidRDefault="009C3076" w:rsidP="009C3076">
      <w:pPr>
        <w:ind w:firstLine="357"/>
        <w:rPr>
          <w:rFonts w:ascii="Arial" w:hAnsi="Arial" w:cs="Arial"/>
          <w:i/>
          <w:sz w:val="22"/>
          <w:szCs w:val="22"/>
        </w:rPr>
      </w:pPr>
    </w:p>
    <w:p w14:paraId="52C12779" w14:textId="77777777" w:rsidR="009C3076" w:rsidRDefault="009C3076" w:rsidP="009C3076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lastRenderedPageBreak/>
        <w:t>Odůvodnění:</w:t>
      </w:r>
    </w:p>
    <w:p w14:paraId="16CEF8BE" w14:textId="1D294972" w:rsidR="000F1131" w:rsidRDefault="000F1131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1B5FF03" w14:textId="177C7D6C" w:rsidR="00003101" w:rsidRDefault="000E6FB4" w:rsidP="00412817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neposlední řadě je nutné podotknout, a učinila tak i Komise,</w:t>
      </w:r>
      <w:r w:rsidR="00EA41E3">
        <w:rPr>
          <w:rFonts w:ascii="Arial" w:hAnsi="Arial" w:cs="Arial"/>
          <w:sz w:val="22"/>
          <w:szCs w:val="22"/>
        </w:rPr>
        <w:t xml:space="preserve"> že proces trvá neadekvátně dlouhou dobu a výsledky testu tří kritérií</w:t>
      </w:r>
      <w:r w:rsidR="008E28B2">
        <w:rPr>
          <w:rFonts w:ascii="Arial" w:hAnsi="Arial" w:cs="Arial"/>
          <w:sz w:val="22"/>
          <w:szCs w:val="22"/>
        </w:rPr>
        <w:t xml:space="preserve"> ze srpna 2017</w:t>
      </w:r>
      <w:r w:rsidR="00EA41E3">
        <w:rPr>
          <w:rFonts w:ascii="Arial" w:hAnsi="Arial" w:cs="Arial"/>
          <w:sz w:val="22"/>
          <w:szCs w:val="22"/>
        </w:rPr>
        <w:t xml:space="preserve"> jsou již nyní </w:t>
      </w:r>
      <w:r w:rsidR="008E28B2">
        <w:rPr>
          <w:rFonts w:ascii="Arial" w:hAnsi="Arial" w:cs="Arial"/>
          <w:sz w:val="22"/>
          <w:szCs w:val="22"/>
        </w:rPr>
        <w:t xml:space="preserve">velmi </w:t>
      </w:r>
      <w:r w:rsidR="00EA41E3">
        <w:rPr>
          <w:rFonts w:ascii="Arial" w:hAnsi="Arial" w:cs="Arial"/>
          <w:sz w:val="22"/>
          <w:szCs w:val="22"/>
        </w:rPr>
        <w:t xml:space="preserve">neaktuální pro další kroky </w:t>
      </w:r>
      <w:r w:rsidR="002E5817">
        <w:rPr>
          <w:rFonts w:ascii="Arial" w:hAnsi="Arial" w:cs="Arial"/>
          <w:sz w:val="22"/>
          <w:szCs w:val="22"/>
        </w:rPr>
        <w:t>procesu</w:t>
      </w:r>
      <w:r w:rsidR="0087373A">
        <w:rPr>
          <w:rFonts w:ascii="Arial" w:hAnsi="Arial" w:cs="Arial"/>
          <w:sz w:val="22"/>
          <w:szCs w:val="22"/>
        </w:rPr>
        <w:t xml:space="preserve"> </w:t>
      </w:r>
      <w:r w:rsidR="003E696C">
        <w:rPr>
          <w:rFonts w:ascii="Arial" w:hAnsi="Arial" w:cs="Arial"/>
          <w:sz w:val="22"/>
          <w:szCs w:val="22"/>
        </w:rPr>
        <w:t xml:space="preserve">k uplatnění regulace ex-ante, které </w:t>
      </w:r>
      <w:r w:rsidR="00003101">
        <w:rPr>
          <w:rFonts w:ascii="Arial" w:hAnsi="Arial" w:cs="Arial"/>
          <w:sz w:val="22"/>
          <w:szCs w:val="22"/>
        </w:rPr>
        <w:t>mohou, nejen vzhledem k Rozhodnutí Komise, zabrat další následující roky.</w:t>
      </w:r>
      <w:r w:rsidR="001E3DC2">
        <w:rPr>
          <w:rFonts w:ascii="Arial" w:hAnsi="Arial" w:cs="Arial"/>
          <w:sz w:val="22"/>
          <w:szCs w:val="22"/>
        </w:rPr>
        <w:t xml:space="preserve"> Na </w:t>
      </w:r>
      <w:r w:rsidR="003C4F0F">
        <w:rPr>
          <w:rFonts w:ascii="Arial" w:hAnsi="Arial" w:cs="Arial"/>
          <w:sz w:val="22"/>
          <w:szCs w:val="22"/>
        </w:rPr>
        <w:t xml:space="preserve">maloobchodním i velkoobchodní </w:t>
      </w:r>
      <w:r w:rsidR="0087373A">
        <w:rPr>
          <w:rFonts w:ascii="Arial" w:hAnsi="Arial" w:cs="Arial"/>
          <w:sz w:val="22"/>
          <w:szCs w:val="22"/>
        </w:rPr>
        <w:t xml:space="preserve">trhu </w:t>
      </w:r>
      <w:r w:rsidR="003C4F0F">
        <w:rPr>
          <w:rFonts w:ascii="Arial" w:hAnsi="Arial" w:cs="Arial"/>
          <w:sz w:val="22"/>
          <w:szCs w:val="22"/>
        </w:rPr>
        <w:t xml:space="preserve">došlo nebo dochází k výrazným </w:t>
      </w:r>
      <w:r w:rsidR="0087373A">
        <w:rPr>
          <w:rFonts w:ascii="Arial" w:hAnsi="Arial" w:cs="Arial"/>
          <w:sz w:val="22"/>
          <w:szCs w:val="22"/>
        </w:rPr>
        <w:t>změnám, které zpochybňují výsledky provedeného testu tří kritérií.</w:t>
      </w:r>
      <w:r w:rsidR="003C4F0F">
        <w:rPr>
          <w:rFonts w:ascii="Arial" w:hAnsi="Arial" w:cs="Arial"/>
          <w:sz w:val="22"/>
          <w:szCs w:val="22"/>
        </w:rPr>
        <w:t xml:space="preserve"> </w:t>
      </w:r>
      <w:r w:rsidR="00CF194E">
        <w:rPr>
          <w:rFonts w:ascii="Arial" w:hAnsi="Arial" w:cs="Arial"/>
          <w:sz w:val="22"/>
          <w:szCs w:val="22"/>
        </w:rPr>
        <w:t xml:space="preserve">ČTÚ se </w:t>
      </w:r>
      <w:r w:rsidR="009452A9">
        <w:rPr>
          <w:rFonts w:ascii="Arial" w:hAnsi="Arial" w:cs="Arial"/>
          <w:sz w:val="22"/>
          <w:szCs w:val="22"/>
        </w:rPr>
        <w:t xml:space="preserve">nyní </w:t>
      </w:r>
      <w:r w:rsidR="00CF194E">
        <w:rPr>
          <w:rFonts w:ascii="Arial" w:hAnsi="Arial" w:cs="Arial"/>
          <w:sz w:val="22"/>
          <w:szCs w:val="22"/>
        </w:rPr>
        <w:t xml:space="preserve">navíc snaží </w:t>
      </w:r>
      <w:r w:rsidR="000B48F9">
        <w:rPr>
          <w:rFonts w:ascii="Arial" w:hAnsi="Arial" w:cs="Arial"/>
          <w:sz w:val="22"/>
          <w:szCs w:val="22"/>
        </w:rPr>
        <w:t xml:space="preserve">výrazně znevýhodňovat </w:t>
      </w:r>
      <w:r w:rsidR="00474742">
        <w:rPr>
          <w:rFonts w:ascii="Arial" w:hAnsi="Arial" w:cs="Arial"/>
          <w:sz w:val="22"/>
          <w:szCs w:val="22"/>
        </w:rPr>
        <w:t xml:space="preserve">a uvalit závazky na </w:t>
      </w:r>
      <w:r w:rsidR="000B48F9">
        <w:rPr>
          <w:rFonts w:ascii="Arial" w:hAnsi="Arial" w:cs="Arial"/>
          <w:sz w:val="22"/>
          <w:szCs w:val="22"/>
        </w:rPr>
        <w:t>stávající síťové operátory také prostřednictvím podmínek chystané aukce rádiových kmitočtů.</w:t>
      </w:r>
    </w:p>
    <w:p w14:paraId="1DE4498A" w14:textId="59E5FA8A" w:rsidR="003D353D" w:rsidRDefault="003D353D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33B235A" w14:textId="1BD68524" w:rsidR="00F906ED" w:rsidRDefault="003D353D" w:rsidP="001F0984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žádném případě nelze akceptovat </w:t>
      </w:r>
      <w:r w:rsidR="00896DB6">
        <w:rPr>
          <w:rFonts w:ascii="Arial" w:hAnsi="Arial" w:cs="Arial"/>
          <w:sz w:val="22"/>
          <w:szCs w:val="22"/>
        </w:rPr>
        <w:t xml:space="preserve">aktualizaci testu tří kritérií pouhým </w:t>
      </w:r>
      <w:r w:rsidR="00DA096A">
        <w:rPr>
          <w:rFonts w:ascii="Arial" w:hAnsi="Arial" w:cs="Arial"/>
          <w:sz w:val="22"/>
          <w:szCs w:val="22"/>
        </w:rPr>
        <w:t xml:space="preserve">přidáním období </w:t>
      </w:r>
      <w:r w:rsidR="00FC7A5D">
        <w:rPr>
          <w:rFonts w:ascii="Arial" w:hAnsi="Arial" w:cs="Arial"/>
          <w:sz w:val="22"/>
          <w:szCs w:val="22"/>
        </w:rPr>
        <w:t>do graf</w:t>
      </w:r>
      <w:r w:rsidR="00383F58">
        <w:rPr>
          <w:rFonts w:ascii="Arial" w:hAnsi="Arial" w:cs="Arial"/>
          <w:sz w:val="22"/>
          <w:szCs w:val="22"/>
        </w:rPr>
        <w:t>ů v něm obsažených</w:t>
      </w:r>
      <w:r w:rsidR="00FC7A5D">
        <w:rPr>
          <w:rFonts w:ascii="Arial" w:hAnsi="Arial" w:cs="Arial"/>
          <w:sz w:val="22"/>
          <w:szCs w:val="22"/>
        </w:rPr>
        <w:t>.</w:t>
      </w:r>
      <w:r w:rsidR="00383F58">
        <w:rPr>
          <w:rFonts w:ascii="Arial" w:hAnsi="Arial" w:cs="Arial"/>
          <w:sz w:val="22"/>
          <w:szCs w:val="22"/>
        </w:rPr>
        <w:t xml:space="preserve"> </w:t>
      </w:r>
      <w:r w:rsidR="00F906ED">
        <w:rPr>
          <w:rFonts w:ascii="Arial" w:hAnsi="Arial" w:cs="Arial"/>
          <w:sz w:val="22"/>
          <w:szCs w:val="22"/>
        </w:rPr>
        <w:t xml:space="preserve">Stejně tak nelze považovat za relevantní substituci neaktuálnosti </w:t>
      </w:r>
      <w:r w:rsidR="00871B03">
        <w:rPr>
          <w:rFonts w:ascii="Arial" w:hAnsi="Arial" w:cs="Arial"/>
          <w:sz w:val="22"/>
          <w:szCs w:val="22"/>
        </w:rPr>
        <w:t xml:space="preserve">testu tří kritérií jakousi </w:t>
      </w:r>
      <w:r w:rsidR="005440DF" w:rsidRPr="005440DF">
        <w:rPr>
          <w:rFonts w:ascii="Arial" w:hAnsi="Arial" w:cs="Arial"/>
          <w:sz w:val="22"/>
          <w:szCs w:val="22"/>
        </w:rPr>
        <w:t>předběžnou analýzu velkoobchodního trhu mobilních služeb</w:t>
      </w:r>
      <w:r w:rsidR="00E473EE">
        <w:rPr>
          <w:rFonts w:ascii="Arial" w:hAnsi="Arial" w:cs="Arial"/>
          <w:sz w:val="22"/>
          <w:szCs w:val="22"/>
        </w:rPr>
        <w:t>, k</w:t>
      </w:r>
      <w:r w:rsidR="001F0984">
        <w:rPr>
          <w:rFonts w:ascii="Arial" w:hAnsi="Arial" w:cs="Arial"/>
          <w:sz w:val="22"/>
          <w:szCs w:val="22"/>
        </w:rPr>
        <w:t> </w:t>
      </w:r>
      <w:r w:rsidR="00E473EE">
        <w:rPr>
          <w:rFonts w:ascii="Arial" w:hAnsi="Arial" w:cs="Arial"/>
          <w:sz w:val="22"/>
          <w:szCs w:val="22"/>
        </w:rPr>
        <w:t>jej</w:t>
      </w:r>
      <w:r w:rsidR="001F0984">
        <w:rPr>
          <w:rFonts w:ascii="Arial" w:hAnsi="Arial" w:cs="Arial"/>
          <w:sz w:val="22"/>
          <w:szCs w:val="22"/>
        </w:rPr>
        <w:t>íž</w:t>
      </w:r>
      <w:r w:rsidR="00E473EE">
        <w:rPr>
          <w:rFonts w:ascii="Arial" w:hAnsi="Arial" w:cs="Arial"/>
          <w:sz w:val="22"/>
          <w:szCs w:val="22"/>
        </w:rPr>
        <w:t xml:space="preserve"> veřejné konzultaci přistoupil ČTÚ obdobně jako </w:t>
      </w:r>
      <w:r w:rsidR="001F0984">
        <w:rPr>
          <w:rFonts w:ascii="Arial" w:hAnsi="Arial" w:cs="Arial"/>
          <w:sz w:val="22"/>
          <w:szCs w:val="22"/>
        </w:rPr>
        <w:t>k veřejné konzultaci testu tří kritérií, tedy ideologickým odmítáním věcných připomínek tržních subjektů.</w:t>
      </w:r>
    </w:p>
    <w:p w14:paraId="1DB5FBC2" w14:textId="77777777" w:rsidR="00F906ED" w:rsidRDefault="00F906ED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6C95DF1" w14:textId="3EC81AB9" w:rsidR="003D353D" w:rsidRDefault="00C02CFE" w:rsidP="00412817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615FFB">
        <w:rPr>
          <w:rFonts w:ascii="Arial" w:hAnsi="Arial" w:cs="Arial"/>
          <w:sz w:val="22"/>
          <w:szCs w:val="22"/>
        </w:rPr>
        <w:t> </w:t>
      </w:r>
      <w:r w:rsidR="00D52F4D">
        <w:rPr>
          <w:rFonts w:ascii="Arial" w:hAnsi="Arial" w:cs="Arial"/>
          <w:sz w:val="22"/>
          <w:szCs w:val="22"/>
        </w:rPr>
        <w:t>dy</w:t>
      </w:r>
      <w:r w:rsidR="00615FFB">
        <w:rPr>
          <w:rFonts w:ascii="Arial" w:hAnsi="Arial" w:cs="Arial"/>
          <w:sz w:val="22"/>
          <w:szCs w:val="22"/>
        </w:rPr>
        <w:t>namickému vývoji na trhu elektronických komunikací považujeme za nutné vypracovat nový test tří kritérií a</w:t>
      </w:r>
      <w:r w:rsidR="006D4A56">
        <w:rPr>
          <w:rFonts w:ascii="Arial" w:hAnsi="Arial" w:cs="Arial"/>
          <w:sz w:val="22"/>
          <w:szCs w:val="22"/>
        </w:rPr>
        <w:t xml:space="preserve"> uskutečnit k tomuto novému testu veřejnou konzultaci. </w:t>
      </w:r>
    </w:p>
    <w:p w14:paraId="46F66D6A" w14:textId="76D0630E" w:rsidR="00297B76" w:rsidRDefault="00297B76" w:rsidP="0041281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CD3267F" w14:textId="4098BFAD" w:rsidR="00232BD1" w:rsidRDefault="00232BD1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3E658E6" w14:textId="76ED4711" w:rsidR="00002153" w:rsidRDefault="00002153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7CC5D60" w14:textId="77777777" w:rsidR="00002153" w:rsidRDefault="00002153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67BBCE25" w14:textId="77777777" w:rsidR="00E473EE" w:rsidRDefault="00E473EE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57608B2D" w14:textId="0CFB2399" w:rsidR="00507FD8" w:rsidRPr="00232BD1" w:rsidRDefault="00507FD8" w:rsidP="00232BD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232BD1">
        <w:rPr>
          <w:rFonts w:ascii="Arial" w:hAnsi="Arial" w:cs="Arial"/>
          <w:b/>
        </w:rPr>
        <w:t>II.</w:t>
      </w:r>
      <w:r w:rsidRPr="00232BD1">
        <w:rPr>
          <w:rFonts w:ascii="Arial" w:hAnsi="Arial" w:cs="Arial"/>
          <w:b/>
        </w:rPr>
        <w:tab/>
        <w:t>STANOVISKA A NÁZORY k</w:t>
      </w:r>
      <w:r w:rsidR="008924D5" w:rsidRPr="00232BD1">
        <w:rPr>
          <w:rFonts w:ascii="Arial" w:hAnsi="Arial" w:cs="Arial"/>
          <w:b/>
        </w:rPr>
        <w:t> </w:t>
      </w:r>
      <w:r w:rsidRPr="00232BD1">
        <w:rPr>
          <w:rFonts w:ascii="Arial" w:hAnsi="Arial" w:cs="Arial"/>
          <w:b/>
        </w:rPr>
        <w:t>návrhu opatření:</w:t>
      </w:r>
    </w:p>
    <w:p w14:paraId="2DC81205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6F680708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5B689D7F" w14:textId="4C47E03A" w:rsidR="00F50FE9" w:rsidRPr="00A20731" w:rsidRDefault="00A20731" w:rsidP="00A20731">
      <w:pPr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  <w:r w:rsidRPr="00A20731">
        <w:rPr>
          <w:rFonts w:ascii="Arial" w:hAnsi="Arial" w:cs="Arial"/>
          <w:sz w:val="22"/>
          <w:szCs w:val="22"/>
        </w:rPr>
        <w:t>Neuplat</w:t>
      </w:r>
      <w:r w:rsidR="008F5B97">
        <w:rPr>
          <w:rFonts w:ascii="Arial" w:hAnsi="Arial" w:cs="Arial"/>
          <w:sz w:val="22"/>
          <w:szCs w:val="22"/>
        </w:rPr>
        <w:t>ňuje se</w:t>
      </w:r>
      <w:r w:rsidRPr="00A20731">
        <w:rPr>
          <w:rFonts w:ascii="Arial" w:hAnsi="Arial" w:cs="Arial"/>
          <w:sz w:val="22"/>
          <w:szCs w:val="22"/>
        </w:rPr>
        <w:t>.</w:t>
      </w:r>
    </w:p>
    <w:p w14:paraId="283263F3" w14:textId="77777777" w:rsidR="002C1223" w:rsidRDefault="002C1223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FE06144" w14:textId="77777777" w:rsidR="00A20731" w:rsidRDefault="00A20731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5585D07" w14:textId="77777777" w:rsidR="00986EE6" w:rsidRDefault="00986EE6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A1C3201" w14:textId="77777777" w:rsidR="00C02A03" w:rsidRDefault="00C02A03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66B71B5D" w14:textId="77777777" w:rsidR="00C02A03" w:rsidRDefault="00C02A03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69F5A0C5" w14:textId="77777777" w:rsidR="00986EE6" w:rsidRDefault="00986EE6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68C8146" w14:textId="3B01DDA4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AC5C15">
        <w:rPr>
          <w:rFonts w:ascii="Arial" w:hAnsi="Arial" w:cs="Arial"/>
          <w:b/>
          <w:sz w:val="22"/>
          <w:szCs w:val="22"/>
        </w:rPr>
        <w:t>Datum:</w:t>
      </w:r>
      <w:r w:rsidR="002C1223">
        <w:rPr>
          <w:rFonts w:ascii="Arial" w:hAnsi="Arial" w:cs="Arial"/>
          <w:sz w:val="22"/>
          <w:szCs w:val="22"/>
        </w:rPr>
        <w:t xml:space="preserve"> 1</w:t>
      </w:r>
      <w:r w:rsidR="0052240E">
        <w:rPr>
          <w:rFonts w:ascii="Arial" w:hAnsi="Arial" w:cs="Arial"/>
          <w:sz w:val="22"/>
          <w:szCs w:val="22"/>
        </w:rPr>
        <w:t>4</w:t>
      </w:r>
      <w:r w:rsidR="002C1223">
        <w:rPr>
          <w:rFonts w:ascii="Arial" w:hAnsi="Arial" w:cs="Arial"/>
          <w:sz w:val="22"/>
          <w:szCs w:val="22"/>
        </w:rPr>
        <w:t>.</w:t>
      </w:r>
      <w:r w:rsidR="00A20731">
        <w:rPr>
          <w:rFonts w:ascii="Arial" w:hAnsi="Arial" w:cs="Arial"/>
          <w:sz w:val="22"/>
          <w:szCs w:val="22"/>
        </w:rPr>
        <w:t xml:space="preserve"> </w:t>
      </w:r>
      <w:r w:rsidR="002C1223">
        <w:rPr>
          <w:rFonts w:ascii="Arial" w:hAnsi="Arial" w:cs="Arial"/>
          <w:sz w:val="22"/>
          <w:szCs w:val="22"/>
        </w:rPr>
        <w:t>10</w:t>
      </w:r>
      <w:r w:rsidR="00AC5C15">
        <w:rPr>
          <w:rFonts w:ascii="Arial" w:hAnsi="Arial" w:cs="Arial"/>
          <w:sz w:val="22"/>
          <w:szCs w:val="22"/>
        </w:rPr>
        <w:t>. 201</w:t>
      </w:r>
      <w:r w:rsidR="00765356">
        <w:rPr>
          <w:rFonts w:ascii="Arial" w:hAnsi="Arial" w:cs="Arial"/>
          <w:sz w:val="22"/>
          <w:szCs w:val="22"/>
        </w:rPr>
        <w:t>9</w:t>
      </w:r>
    </w:p>
    <w:p w14:paraId="674848A6" w14:textId="4EE916A0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AC5C15">
        <w:rPr>
          <w:rFonts w:ascii="Arial" w:hAnsi="Arial" w:cs="Arial"/>
          <w:b/>
          <w:sz w:val="22"/>
          <w:szCs w:val="22"/>
        </w:rPr>
        <w:t>Jméno a příjmení, funkce oprávněné osoby:</w:t>
      </w:r>
      <w:r w:rsidR="00AC5C15">
        <w:rPr>
          <w:rFonts w:ascii="Arial" w:hAnsi="Arial" w:cs="Arial"/>
          <w:sz w:val="22"/>
          <w:szCs w:val="22"/>
        </w:rPr>
        <w:t xml:space="preserve"> </w:t>
      </w:r>
      <w:r w:rsidR="009976C8">
        <w:rPr>
          <w:rFonts w:ascii="Arial" w:hAnsi="Arial" w:cs="Arial"/>
          <w:sz w:val="22"/>
          <w:szCs w:val="22"/>
        </w:rPr>
        <w:t>Miloš Koděra</w:t>
      </w:r>
      <w:r w:rsidR="00AC5C15">
        <w:rPr>
          <w:rFonts w:ascii="Arial" w:hAnsi="Arial" w:cs="Arial"/>
          <w:sz w:val="22"/>
          <w:szCs w:val="22"/>
        </w:rPr>
        <w:t xml:space="preserve">, </w:t>
      </w:r>
      <w:r w:rsidR="009976C8">
        <w:rPr>
          <w:rFonts w:ascii="Arial" w:hAnsi="Arial" w:cs="Arial"/>
          <w:sz w:val="22"/>
          <w:szCs w:val="22"/>
        </w:rPr>
        <w:t xml:space="preserve">senior </w:t>
      </w:r>
      <w:r w:rsidR="00AC5C15">
        <w:rPr>
          <w:rFonts w:ascii="Arial" w:hAnsi="Arial" w:cs="Arial"/>
          <w:sz w:val="22"/>
          <w:szCs w:val="22"/>
        </w:rPr>
        <w:t>specialista regulačních záležitostí</w:t>
      </w:r>
    </w:p>
    <w:p w14:paraId="5B17E98F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3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r w:rsidR="008924D5">
        <w:rPr>
          <w:rFonts w:ascii="Arial" w:hAnsi="Arial" w:cs="Arial"/>
          <w:sz w:val="22"/>
          <w:szCs w:val="22"/>
        </w:rPr>
        <w:t xml:space="preserve"> Elektronický podpis</w:t>
      </w:r>
    </w:p>
    <w:sectPr w:rsidR="00FB62E6" w:rsidRPr="00FB62E6" w:rsidSect="00D27890">
      <w:headerReference w:type="default" r:id="rId8"/>
      <w:footerReference w:type="default" r:id="rId9"/>
      <w:pgSz w:w="11906" w:h="16838"/>
      <w:pgMar w:top="1939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8C3B" w14:textId="77777777" w:rsidR="00A62232" w:rsidRDefault="00A62232">
      <w:r>
        <w:separator/>
      </w:r>
    </w:p>
  </w:endnote>
  <w:endnote w:type="continuationSeparator" w:id="0">
    <w:p w14:paraId="5F75EDCB" w14:textId="77777777" w:rsidR="00A62232" w:rsidRDefault="00A6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CAA6" w14:textId="77777777" w:rsidR="00FF60C0" w:rsidRPr="00430AB7" w:rsidRDefault="00FF60C0">
    <w:pPr>
      <w:pStyle w:val="Zpat"/>
      <w:jc w:val="center"/>
      <w:rPr>
        <w:rFonts w:ascii="Arial" w:hAnsi="Arial" w:cs="Arial"/>
        <w:sz w:val="20"/>
        <w:szCs w:val="20"/>
      </w:rPr>
    </w:pPr>
    <w:r w:rsidRPr="00430AB7">
      <w:rPr>
        <w:rFonts w:ascii="Arial" w:hAnsi="Arial" w:cs="Arial"/>
        <w:bCs/>
        <w:sz w:val="20"/>
        <w:szCs w:val="20"/>
      </w:rPr>
      <w:fldChar w:fldCharType="begin"/>
    </w:r>
    <w:r w:rsidRPr="00430AB7">
      <w:rPr>
        <w:rFonts w:ascii="Arial" w:hAnsi="Arial" w:cs="Arial"/>
        <w:bCs/>
        <w:sz w:val="20"/>
        <w:szCs w:val="20"/>
      </w:rPr>
      <w:instrText>PAGE</w:instrText>
    </w:r>
    <w:r w:rsidRPr="00430AB7">
      <w:rPr>
        <w:rFonts w:ascii="Arial" w:hAnsi="Arial" w:cs="Arial"/>
        <w:bCs/>
        <w:sz w:val="20"/>
        <w:szCs w:val="20"/>
      </w:rPr>
      <w:fldChar w:fldCharType="separate"/>
    </w:r>
    <w:r w:rsidR="00F35483">
      <w:rPr>
        <w:rFonts w:ascii="Arial" w:hAnsi="Arial" w:cs="Arial"/>
        <w:bCs/>
        <w:noProof/>
        <w:sz w:val="20"/>
        <w:szCs w:val="20"/>
      </w:rPr>
      <w:t>14</w:t>
    </w:r>
    <w:r w:rsidRPr="00430AB7">
      <w:rPr>
        <w:rFonts w:ascii="Arial" w:hAnsi="Arial" w:cs="Arial"/>
        <w:bCs/>
        <w:sz w:val="20"/>
        <w:szCs w:val="20"/>
      </w:rPr>
      <w:fldChar w:fldCharType="end"/>
    </w:r>
    <w:r w:rsidRPr="00430AB7">
      <w:rPr>
        <w:rFonts w:ascii="Arial" w:hAnsi="Arial" w:cs="Arial"/>
        <w:sz w:val="20"/>
        <w:szCs w:val="20"/>
      </w:rPr>
      <w:t>/</w:t>
    </w:r>
    <w:r w:rsidRPr="00430AB7">
      <w:rPr>
        <w:rFonts w:ascii="Arial" w:hAnsi="Arial" w:cs="Arial"/>
        <w:bCs/>
        <w:sz w:val="20"/>
        <w:szCs w:val="20"/>
      </w:rPr>
      <w:fldChar w:fldCharType="begin"/>
    </w:r>
    <w:r w:rsidRPr="00430AB7">
      <w:rPr>
        <w:rFonts w:ascii="Arial" w:hAnsi="Arial" w:cs="Arial"/>
        <w:bCs/>
        <w:sz w:val="20"/>
        <w:szCs w:val="20"/>
      </w:rPr>
      <w:instrText>NUMPAGES</w:instrText>
    </w:r>
    <w:r w:rsidRPr="00430AB7">
      <w:rPr>
        <w:rFonts w:ascii="Arial" w:hAnsi="Arial" w:cs="Arial"/>
        <w:bCs/>
        <w:sz w:val="20"/>
        <w:szCs w:val="20"/>
      </w:rPr>
      <w:fldChar w:fldCharType="separate"/>
    </w:r>
    <w:r w:rsidR="00F35483">
      <w:rPr>
        <w:rFonts w:ascii="Arial" w:hAnsi="Arial" w:cs="Arial"/>
        <w:bCs/>
        <w:noProof/>
        <w:sz w:val="20"/>
        <w:szCs w:val="20"/>
      </w:rPr>
      <w:t>14</w:t>
    </w:r>
    <w:r w:rsidRPr="00430AB7">
      <w:rPr>
        <w:rFonts w:ascii="Arial" w:hAnsi="Arial" w:cs="Arial"/>
        <w:bCs/>
        <w:sz w:val="20"/>
        <w:szCs w:val="20"/>
      </w:rPr>
      <w:fldChar w:fldCharType="end"/>
    </w:r>
  </w:p>
  <w:p w14:paraId="11AFF722" w14:textId="77777777" w:rsidR="00FF60C0" w:rsidRDefault="00FF60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D438" w14:textId="77777777" w:rsidR="00A62232" w:rsidRDefault="00A62232">
      <w:r>
        <w:separator/>
      </w:r>
    </w:p>
  </w:footnote>
  <w:footnote w:type="continuationSeparator" w:id="0">
    <w:p w14:paraId="1EBFF6D2" w14:textId="77777777" w:rsidR="00A62232" w:rsidRDefault="00A62232">
      <w:r>
        <w:continuationSeparator/>
      </w:r>
    </w:p>
  </w:footnote>
  <w:footnote w:id="1">
    <w:p w14:paraId="591286CA" w14:textId="6845416A" w:rsidR="002443D5" w:rsidRDefault="002443D5" w:rsidP="009B1504">
      <w:pPr>
        <w:pStyle w:val="Textpoznpodarou"/>
        <w:spacing w:after="120"/>
        <w:jc w:val="both"/>
      </w:pPr>
      <w:r>
        <w:rPr>
          <w:rStyle w:val="Znakapoznpodarou"/>
        </w:rPr>
        <w:footnoteRef/>
      </w:r>
      <w:r>
        <w:t xml:space="preserve"> </w:t>
      </w:r>
      <w:r w:rsidR="00292BD9" w:rsidRPr="00292BD9">
        <w:rPr>
          <w:b/>
        </w:rPr>
        <w:t>EVROPSKÁ KOMISE:</w:t>
      </w:r>
      <w:r w:rsidR="00292BD9" w:rsidRPr="00292BD9">
        <w:t xml:space="preserve"> </w:t>
      </w:r>
      <w:r w:rsidR="00292BD9" w:rsidRPr="00292BD9">
        <w:rPr>
          <w:i/>
        </w:rPr>
        <w:t>Rozhodnutí Komise ve věci CZ/2019/2189: Velkoobchodní trh přístupu a původu volání ve veřejných mobilních telefonních sítích v České republice</w:t>
      </w:r>
      <w:r w:rsidR="009B1504">
        <w:rPr>
          <w:i/>
        </w:rPr>
        <w:t xml:space="preserve">. </w:t>
      </w:r>
      <w:r w:rsidR="009B1504">
        <w:t xml:space="preserve">Brusel, 18. 7. 2019. </w:t>
      </w:r>
      <w:r w:rsidR="00292BD9">
        <w:t xml:space="preserve">  </w:t>
      </w:r>
      <w:r w:rsidR="009B1504" w:rsidRPr="009B1504">
        <w:rPr>
          <w:sz w:val="18"/>
          <w:szCs w:val="18"/>
        </w:rPr>
        <w:t>&lt;</w:t>
      </w:r>
      <w:r w:rsidRPr="009B1504">
        <w:rPr>
          <w:sz w:val="18"/>
          <w:szCs w:val="18"/>
        </w:rPr>
        <w:t>https://circabc.europa.eu/sd/a/f3cee803-b07e-4551-88f1-89bc41a29aba/CZ-2019-2189%20Adopted_CS_Redacted.pdf</w:t>
      </w:r>
      <w:r w:rsidR="009B1504">
        <w:rPr>
          <w:sz w:val="18"/>
          <w:szCs w:val="18"/>
        </w:rPr>
        <w:t>&gt;.</w:t>
      </w:r>
    </w:p>
  </w:footnote>
  <w:footnote w:id="2">
    <w:p w14:paraId="0D3B4EE1" w14:textId="5D3E0BAE" w:rsidR="002833BD" w:rsidRDefault="002833BD" w:rsidP="0005133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5133F" w:rsidRPr="0005133F">
        <w:rPr>
          <w:b/>
        </w:rPr>
        <w:t>LUPA.CZ:</w:t>
      </w:r>
      <w:r w:rsidR="0005133F">
        <w:t xml:space="preserve"> </w:t>
      </w:r>
      <w:r w:rsidR="0005133F" w:rsidRPr="0005133F">
        <w:rPr>
          <w:i/>
        </w:rPr>
        <w:t>Virtuálů máte dost, tak proč chcete regulovat, ptá se Komise. ČTÚ ji chce přesvědčit v dalším kole.</w:t>
      </w:r>
      <w:r w:rsidR="0005133F">
        <w:t xml:space="preserve"> Praha, 24.7.2019. </w:t>
      </w:r>
      <w:r w:rsidR="0005133F" w:rsidRPr="0005133F">
        <w:rPr>
          <w:sz w:val="18"/>
          <w:szCs w:val="18"/>
        </w:rPr>
        <w:t>&lt;</w:t>
      </w:r>
      <w:r w:rsidRPr="0005133F">
        <w:rPr>
          <w:sz w:val="18"/>
          <w:szCs w:val="18"/>
        </w:rPr>
        <w:t>https://www.lupa.cz/clanky/virtualu-mate-dost-tak-proc-chcete-regulovat-pta-se-komise-ctu-ji-chce-presvedcit-v-dalsim-kole/</w:t>
      </w:r>
      <w:r w:rsidR="0005133F" w:rsidRPr="0005133F">
        <w:rPr>
          <w:sz w:val="18"/>
          <w:szCs w:val="18"/>
        </w:rPr>
        <w:t>&gt;.</w:t>
      </w:r>
    </w:p>
  </w:footnote>
  <w:footnote w:id="3">
    <w:p w14:paraId="55D6EC28" w14:textId="77777777" w:rsidR="00FF60C0" w:rsidRPr="00E6618D" w:rsidRDefault="00FF60C0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12E939F" w14:textId="77777777" w:rsidR="00FF60C0" w:rsidRPr="00E6618D" w:rsidRDefault="00FF60C0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43F3" w14:textId="128CB671" w:rsidR="00D27890" w:rsidRDefault="00D2789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B3FCADE" wp14:editId="7787A149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513080" cy="504190"/>
          <wp:effectExtent l="0" t="0" r="1270" b="0"/>
          <wp:wrapNone/>
          <wp:docPr id="4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02CA4C0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C2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05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64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7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2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F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5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E0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4614C7E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05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46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C3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2B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01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22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0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66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17C79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667717"/>
    <w:multiLevelType w:val="singleLevel"/>
    <w:tmpl w:val="28AEE6B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602764"/>
    <w:multiLevelType w:val="hybridMultilevel"/>
    <w:tmpl w:val="9E7A3C2A"/>
    <w:lvl w:ilvl="0" w:tplc="E14A85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9496">
      <w:numFmt w:val="bullet"/>
      <w:lvlText w:val="-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255F"/>
    <w:multiLevelType w:val="hybridMultilevel"/>
    <w:tmpl w:val="A8844DDE"/>
    <w:lvl w:ilvl="0" w:tplc="E020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439B"/>
    <w:multiLevelType w:val="hybridMultilevel"/>
    <w:tmpl w:val="6BC25620"/>
    <w:lvl w:ilvl="0" w:tplc="CEC4EB7A">
      <w:numFmt w:val="bullet"/>
      <w:lvlText w:val="-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B5B0182"/>
    <w:multiLevelType w:val="hybridMultilevel"/>
    <w:tmpl w:val="309A0696"/>
    <w:lvl w:ilvl="0" w:tplc="73C0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2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E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66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EB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80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6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44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856EFE"/>
    <w:multiLevelType w:val="hybridMultilevel"/>
    <w:tmpl w:val="DB84ED0E"/>
    <w:lvl w:ilvl="0" w:tplc="8992363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54FE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63079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0F602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A49A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D2E6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CA073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F007A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C2B6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860FED"/>
    <w:multiLevelType w:val="hybridMultilevel"/>
    <w:tmpl w:val="7618F56A"/>
    <w:lvl w:ilvl="0" w:tplc="B8AA04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70C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0C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8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0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E0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32481"/>
    <w:multiLevelType w:val="hybridMultilevel"/>
    <w:tmpl w:val="3F98081E"/>
    <w:lvl w:ilvl="0" w:tplc="E020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23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C2560B"/>
    <w:multiLevelType w:val="hybridMultilevel"/>
    <w:tmpl w:val="58A2A352"/>
    <w:lvl w:ilvl="0" w:tplc="72B041C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AFAF526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8A675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685AE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A0A67B8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CCECD5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440E12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A040CA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55E6DE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34334"/>
    <w:multiLevelType w:val="hybridMultilevel"/>
    <w:tmpl w:val="E39C83F6"/>
    <w:lvl w:ilvl="0" w:tplc="3468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F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CB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AA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9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1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A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2A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CE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957BA"/>
    <w:multiLevelType w:val="hybridMultilevel"/>
    <w:tmpl w:val="8966889A"/>
    <w:lvl w:ilvl="0" w:tplc="6226B05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EA68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E2AF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3A3C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F2AB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C00B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EA48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6C34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D64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67418F"/>
    <w:multiLevelType w:val="hybridMultilevel"/>
    <w:tmpl w:val="0AE422CE"/>
    <w:lvl w:ilvl="0" w:tplc="AD68DDB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5C1C0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A6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63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C0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EB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C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2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03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DB2524"/>
    <w:multiLevelType w:val="hybridMultilevel"/>
    <w:tmpl w:val="0DB2E918"/>
    <w:lvl w:ilvl="0" w:tplc="DA241C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010F0A"/>
    <w:multiLevelType w:val="hybridMultilevel"/>
    <w:tmpl w:val="6024AB8A"/>
    <w:lvl w:ilvl="0" w:tplc="48EE6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A567B1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83223B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2088A8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BB005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514113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CC2BFE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0C4F8B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4EC107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2"/>
  </w:num>
  <w:num w:numId="2">
    <w:abstractNumId w:val="13"/>
  </w:num>
  <w:num w:numId="3">
    <w:abstractNumId w:val="30"/>
  </w:num>
  <w:num w:numId="4">
    <w:abstractNumId w:val="8"/>
  </w:num>
  <w:num w:numId="5">
    <w:abstractNumId w:val="29"/>
  </w:num>
  <w:num w:numId="6">
    <w:abstractNumId w:val="33"/>
  </w:num>
  <w:num w:numId="7">
    <w:abstractNumId w:val="9"/>
  </w:num>
  <w:num w:numId="8">
    <w:abstractNumId w:val="6"/>
  </w:num>
  <w:num w:numId="9">
    <w:abstractNumId w:val="21"/>
  </w:num>
  <w:num w:numId="10">
    <w:abstractNumId w:val="5"/>
  </w:num>
  <w:num w:numId="11">
    <w:abstractNumId w:val="24"/>
  </w:num>
  <w:num w:numId="12">
    <w:abstractNumId w:val="14"/>
  </w:num>
  <w:num w:numId="13">
    <w:abstractNumId w:val="32"/>
  </w:num>
  <w:num w:numId="14">
    <w:abstractNumId w:val="22"/>
  </w:num>
  <w:num w:numId="15">
    <w:abstractNumId w:val="27"/>
  </w:num>
  <w:num w:numId="16">
    <w:abstractNumId w:val="7"/>
  </w:num>
  <w:num w:numId="17">
    <w:abstractNumId w:val="38"/>
  </w:num>
  <w:num w:numId="18">
    <w:abstractNumId w:val="37"/>
  </w:num>
  <w:num w:numId="19">
    <w:abstractNumId w:val="40"/>
  </w:num>
  <w:num w:numId="20">
    <w:abstractNumId w:val="23"/>
  </w:num>
  <w:num w:numId="21">
    <w:abstractNumId w:val="19"/>
  </w:num>
  <w:num w:numId="22">
    <w:abstractNumId w:val="26"/>
  </w:num>
  <w:num w:numId="23">
    <w:abstractNumId w:val="20"/>
  </w:num>
  <w:num w:numId="24">
    <w:abstractNumId w:val="1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0"/>
  </w:num>
  <w:num w:numId="30">
    <w:abstractNumId w:val="2"/>
  </w:num>
  <w:num w:numId="31">
    <w:abstractNumId w:val="16"/>
  </w:num>
  <w:num w:numId="32">
    <w:abstractNumId w:val="3"/>
  </w:num>
  <w:num w:numId="33">
    <w:abstractNumId w:val="35"/>
  </w:num>
  <w:num w:numId="34">
    <w:abstractNumId w:val="31"/>
  </w:num>
  <w:num w:numId="35">
    <w:abstractNumId w:val="18"/>
  </w:num>
  <w:num w:numId="36">
    <w:abstractNumId w:val="28"/>
  </w:num>
  <w:num w:numId="37">
    <w:abstractNumId w:val="39"/>
  </w:num>
  <w:num w:numId="38">
    <w:abstractNumId w:val="36"/>
  </w:num>
  <w:num w:numId="39">
    <w:abstractNumId w:val="10"/>
  </w:num>
  <w:num w:numId="40">
    <w:abstractNumId w:val="12"/>
  </w:num>
  <w:num w:numId="41">
    <w:abstractNumId w:val="4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2D"/>
    <w:rsid w:val="000002D1"/>
    <w:rsid w:val="00001C10"/>
    <w:rsid w:val="00002153"/>
    <w:rsid w:val="00003101"/>
    <w:rsid w:val="00003231"/>
    <w:rsid w:val="00007619"/>
    <w:rsid w:val="00013F38"/>
    <w:rsid w:val="00015FD4"/>
    <w:rsid w:val="0002076A"/>
    <w:rsid w:val="00024677"/>
    <w:rsid w:val="000254C9"/>
    <w:rsid w:val="00042764"/>
    <w:rsid w:val="0004578D"/>
    <w:rsid w:val="00047F1D"/>
    <w:rsid w:val="00050E29"/>
    <w:rsid w:val="000511D1"/>
    <w:rsid w:val="0005133F"/>
    <w:rsid w:val="000627F1"/>
    <w:rsid w:val="000632AB"/>
    <w:rsid w:val="00064B40"/>
    <w:rsid w:val="0006718D"/>
    <w:rsid w:val="000708B5"/>
    <w:rsid w:val="000759FE"/>
    <w:rsid w:val="00080E65"/>
    <w:rsid w:val="00082320"/>
    <w:rsid w:val="00084C2D"/>
    <w:rsid w:val="0008580A"/>
    <w:rsid w:val="00090E03"/>
    <w:rsid w:val="00094D2A"/>
    <w:rsid w:val="000A148D"/>
    <w:rsid w:val="000A7189"/>
    <w:rsid w:val="000A7990"/>
    <w:rsid w:val="000B280B"/>
    <w:rsid w:val="000B48F9"/>
    <w:rsid w:val="000B5C90"/>
    <w:rsid w:val="000C1F0F"/>
    <w:rsid w:val="000C223B"/>
    <w:rsid w:val="000C4273"/>
    <w:rsid w:val="000C54EA"/>
    <w:rsid w:val="000C6B62"/>
    <w:rsid w:val="000D608B"/>
    <w:rsid w:val="000E1897"/>
    <w:rsid w:val="000E62BE"/>
    <w:rsid w:val="000E6FB4"/>
    <w:rsid w:val="000F0905"/>
    <w:rsid w:val="000F0ED0"/>
    <w:rsid w:val="000F1131"/>
    <w:rsid w:val="000F6F27"/>
    <w:rsid w:val="000F79B2"/>
    <w:rsid w:val="001012BC"/>
    <w:rsid w:val="00105114"/>
    <w:rsid w:val="00110605"/>
    <w:rsid w:val="00111C47"/>
    <w:rsid w:val="00117A9A"/>
    <w:rsid w:val="001235D8"/>
    <w:rsid w:val="001246F8"/>
    <w:rsid w:val="00130EBA"/>
    <w:rsid w:val="001317B4"/>
    <w:rsid w:val="00135297"/>
    <w:rsid w:val="0013610B"/>
    <w:rsid w:val="001449B5"/>
    <w:rsid w:val="00151122"/>
    <w:rsid w:val="00156761"/>
    <w:rsid w:val="001645B8"/>
    <w:rsid w:val="00167B9B"/>
    <w:rsid w:val="001700E4"/>
    <w:rsid w:val="00172892"/>
    <w:rsid w:val="00175149"/>
    <w:rsid w:val="00175755"/>
    <w:rsid w:val="00176391"/>
    <w:rsid w:val="00186E85"/>
    <w:rsid w:val="0019225D"/>
    <w:rsid w:val="00192A9C"/>
    <w:rsid w:val="001941E4"/>
    <w:rsid w:val="001A1AA4"/>
    <w:rsid w:val="001A424B"/>
    <w:rsid w:val="001C325C"/>
    <w:rsid w:val="001D24B9"/>
    <w:rsid w:val="001D406F"/>
    <w:rsid w:val="001E3DC2"/>
    <w:rsid w:val="001E4B09"/>
    <w:rsid w:val="001F0984"/>
    <w:rsid w:val="001F0D38"/>
    <w:rsid w:val="001F1AF5"/>
    <w:rsid w:val="001F1EAC"/>
    <w:rsid w:val="001F587B"/>
    <w:rsid w:val="00203F2F"/>
    <w:rsid w:val="002049F4"/>
    <w:rsid w:val="00205027"/>
    <w:rsid w:val="00212DEE"/>
    <w:rsid w:val="002141F7"/>
    <w:rsid w:val="00214D0D"/>
    <w:rsid w:val="00215A91"/>
    <w:rsid w:val="00221BA1"/>
    <w:rsid w:val="002225AD"/>
    <w:rsid w:val="002257A3"/>
    <w:rsid w:val="00232BD1"/>
    <w:rsid w:val="00233AA7"/>
    <w:rsid w:val="002443D5"/>
    <w:rsid w:val="00260694"/>
    <w:rsid w:val="002624B8"/>
    <w:rsid w:val="002658B4"/>
    <w:rsid w:val="00265D7D"/>
    <w:rsid w:val="002706B1"/>
    <w:rsid w:val="002721B1"/>
    <w:rsid w:val="00273D5C"/>
    <w:rsid w:val="002764D8"/>
    <w:rsid w:val="00277725"/>
    <w:rsid w:val="00281F22"/>
    <w:rsid w:val="002833BD"/>
    <w:rsid w:val="00284F7B"/>
    <w:rsid w:val="00286B01"/>
    <w:rsid w:val="00290EB3"/>
    <w:rsid w:val="00292BD9"/>
    <w:rsid w:val="002952B3"/>
    <w:rsid w:val="002959D1"/>
    <w:rsid w:val="00296247"/>
    <w:rsid w:val="00297B50"/>
    <w:rsid w:val="00297B76"/>
    <w:rsid w:val="002A73AA"/>
    <w:rsid w:val="002B07DA"/>
    <w:rsid w:val="002B1CDF"/>
    <w:rsid w:val="002B396D"/>
    <w:rsid w:val="002B493C"/>
    <w:rsid w:val="002B7CDF"/>
    <w:rsid w:val="002C003B"/>
    <w:rsid w:val="002C1223"/>
    <w:rsid w:val="002C1290"/>
    <w:rsid w:val="002C51A0"/>
    <w:rsid w:val="002C5EB8"/>
    <w:rsid w:val="002D7281"/>
    <w:rsid w:val="002D7B36"/>
    <w:rsid w:val="002E0119"/>
    <w:rsid w:val="002E3579"/>
    <w:rsid w:val="002E5817"/>
    <w:rsid w:val="002F2305"/>
    <w:rsid w:val="002F422F"/>
    <w:rsid w:val="002F4A0D"/>
    <w:rsid w:val="0030230A"/>
    <w:rsid w:val="0030272A"/>
    <w:rsid w:val="00303CA8"/>
    <w:rsid w:val="00305E6C"/>
    <w:rsid w:val="00307530"/>
    <w:rsid w:val="003078E2"/>
    <w:rsid w:val="00312175"/>
    <w:rsid w:val="00312321"/>
    <w:rsid w:val="00312F58"/>
    <w:rsid w:val="003130EC"/>
    <w:rsid w:val="003167BD"/>
    <w:rsid w:val="00316C30"/>
    <w:rsid w:val="0031779E"/>
    <w:rsid w:val="00326E6A"/>
    <w:rsid w:val="00327014"/>
    <w:rsid w:val="00327864"/>
    <w:rsid w:val="00342135"/>
    <w:rsid w:val="00342E96"/>
    <w:rsid w:val="00344A36"/>
    <w:rsid w:val="00350365"/>
    <w:rsid w:val="00351B3B"/>
    <w:rsid w:val="00352351"/>
    <w:rsid w:val="00353372"/>
    <w:rsid w:val="00353900"/>
    <w:rsid w:val="00353FB8"/>
    <w:rsid w:val="0035581C"/>
    <w:rsid w:val="00357170"/>
    <w:rsid w:val="00363707"/>
    <w:rsid w:val="003712C4"/>
    <w:rsid w:val="003760F9"/>
    <w:rsid w:val="00377297"/>
    <w:rsid w:val="0038030A"/>
    <w:rsid w:val="00383F58"/>
    <w:rsid w:val="00384CD5"/>
    <w:rsid w:val="0039253A"/>
    <w:rsid w:val="0039353B"/>
    <w:rsid w:val="00393E48"/>
    <w:rsid w:val="00396B48"/>
    <w:rsid w:val="003A2CE4"/>
    <w:rsid w:val="003A3D5B"/>
    <w:rsid w:val="003B5579"/>
    <w:rsid w:val="003C0A51"/>
    <w:rsid w:val="003C3D96"/>
    <w:rsid w:val="003C4F0F"/>
    <w:rsid w:val="003C67D1"/>
    <w:rsid w:val="003D0AD9"/>
    <w:rsid w:val="003D3243"/>
    <w:rsid w:val="003D353D"/>
    <w:rsid w:val="003D39F9"/>
    <w:rsid w:val="003D5190"/>
    <w:rsid w:val="003D669C"/>
    <w:rsid w:val="003D7FAB"/>
    <w:rsid w:val="003E2356"/>
    <w:rsid w:val="003E2644"/>
    <w:rsid w:val="003E331F"/>
    <w:rsid w:val="003E521A"/>
    <w:rsid w:val="003E696C"/>
    <w:rsid w:val="003E7A2E"/>
    <w:rsid w:val="003F213C"/>
    <w:rsid w:val="003F50AA"/>
    <w:rsid w:val="004006E8"/>
    <w:rsid w:val="00406E66"/>
    <w:rsid w:val="00412817"/>
    <w:rsid w:val="0041401D"/>
    <w:rsid w:val="004154FB"/>
    <w:rsid w:val="004227EA"/>
    <w:rsid w:val="00430AB7"/>
    <w:rsid w:val="00436BB1"/>
    <w:rsid w:val="00437E2F"/>
    <w:rsid w:val="0044036C"/>
    <w:rsid w:val="00442787"/>
    <w:rsid w:val="0044797A"/>
    <w:rsid w:val="00451D4B"/>
    <w:rsid w:val="0045438F"/>
    <w:rsid w:val="00457AFB"/>
    <w:rsid w:val="004631BF"/>
    <w:rsid w:val="00470BFA"/>
    <w:rsid w:val="00474742"/>
    <w:rsid w:val="004752E6"/>
    <w:rsid w:val="004775DA"/>
    <w:rsid w:val="00482794"/>
    <w:rsid w:val="00491A67"/>
    <w:rsid w:val="004947CD"/>
    <w:rsid w:val="00495622"/>
    <w:rsid w:val="004962F5"/>
    <w:rsid w:val="00496D8D"/>
    <w:rsid w:val="004A2C9E"/>
    <w:rsid w:val="004B5407"/>
    <w:rsid w:val="004C00F1"/>
    <w:rsid w:val="004C1F1B"/>
    <w:rsid w:val="004C3CBE"/>
    <w:rsid w:val="004C5659"/>
    <w:rsid w:val="004D5441"/>
    <w:rsid w:val="004D6706"/>
    <w:rsid w:val="004E04B6"/>
    <w:rsid w:val="004E6305"/>
    <w:rsid w:val="004E7D56"/>
    <w:rsid w:val="004F2CEF"/>
    <w:rsid w:val="004F7E1B"/>
    <w:rsid w:val="00507B3F"/>
    <w:rsid w:val="00507FD8"/>
    <w:rsid w:val="00512275"/>
    <w:rsid w:val="0052240E"/>
    <w:rsid w:val="00523853"/>
    <w:rsid w:val="00524C1C"/>
    <w:rsid w:val="0052569B"/>
    <w:rsid w:val="005410A5"/>
    <w:rsid w:val="0054211C"/>
    <w:rsid w:val="005440DF"/>
    <w:rsid w:val="0055117B"/>
    <w:rsid w:val="00552F3F"/>
    <w:rsid w:val="00555193"/>
    <w:rsid w:val="00556702"/>
    <w:rsid w:val="0058295A"/>
    <w:rsid w:val="00582DF3"/>
    <w:rsid w:val="00584F9B"/>
    <w:rsid w:val="005A15E5"/>
    <w:rsid w:val="005A371B"/>
    <w:rsid w:val="005A3E41"/>
    <w:rsid w:val="005A691B"/>
    <w:rsid w:val="005B37CC"/>
    <w:rsid w:val="005B5BB2"/>
    <w:rsid w:val="005B65B8"/>
    <w:rsid w:val="005B723B"/>
    <w:rsid w:val="005C5801"/>
    <w:rsid w:val="005D6257"/>
    <w:rsid w:val="005E1069"/>
    <w:rsid w:val="005E1596"/>
    <w:rsid w:val="005E42B7"/>
    <w:rsid w:val="005E46F9"/>
    <w:rsid w:val="005E4750"/>
    <w:rsid w:val="005F35FB"/>
    <w:rsid w:val="005F46C4"/>
    <w:rsid w:val="005F472B"/>
    <w:rsid w:val="005F73BF"/>
    <w:rsid w:val="00600766"/>
    <w:rsid w:val="00600EED"/>
    <w:rsid w:val="0060174C"/>
    <w:rsid w:val="00602A3B"/>
    <w:rsid w:val="0060783D"/>
    <w:rsid w:val="0061396F"/>
    <w:rsid w:val="00615FFB"/>
    <w:rsid w:val="006235A0"/>
    <w:rsid w:val="00625CBF"/>
    <w:rsid w:val="00631E90"/>
    <w:rsid w:val="006323C6"/>
    <w:rsid w:val="00633455"/>
    <w:rsid w:val="006348F5"/>
    <w:rsid w:val="006356CF"/>
    <w:rsid w:val="00637292"/>
    <w:rsid w:val="00640445"/>
    <w:rsid w:val="006464DE"/>
    <w:rsid w:val="00646AEF"/>
    <w:rsid w:val="00652DE0"/>
    <w:rsid w:val="00656863"/>
    <w:rsid w:val="00663EEB"/>
    <w:rsid w:val="00672046"/>
    <w:rsid w:val="006723F3"/>
    <w:rsid w:val="0068548A"/>
    <w:rsid w:val="00691C59"/>
    <w:rsid w:val="006934AE"/>
    <w:rsid w:val="006A2653"/>
    <w:rsid w:val="006A665A"/>
    <w:rsid w:val="006A6F12"/>
    <w:rsid w:val="006B20CB"/>
    <w:rsid w:val="006B29A9"/>
    <w:rsid w:val="006B7494"/>
    <w:rsid w:val="006B75E8"/>
    <w:rsid w:val="006C4E66"/>
    <w:rsid w:val="006C59C5"/>
    <w:rsid w:val="006C74F3"/>
    <w:rsid w:val="006D009D"/>
    <w:rsid w:val="006D3E43"/>
    <w:rsid w:val="006D45FF"/>
    <w:rsid w:val="006D4A56"/>
    <w:rsid w:val="006D5024"/>
    <w:rsid w:val="006D5F3F"/>
    <w:rsid w:val="006E3CC2"/>
    <w:rsid w:val="006E4884"/>
    <w:rsid w:val="006E5666"/>
    <w:rsid w:val="006F0D99"/>
    <w:rsid w:val="006F12AB"/>
    <w:rsid w:val="006F1D78"/>
    <w:rsid w:val="006F23FC"/>
    <w:rsid w:val="006F26B6"/>
    <w:rsid w:val="006F2DFA"/>
    <w:rsid w:val="006F7B83"/>
    <w:rsid w:val="007033D4"/>
    <w:rsid w:val="007036C4"/>
    <w:rsid w:val="00704A6B"/>
    <w:rsid w:val="0070527F"/>
    <w:rsid w:val="00705F81"/>
    <w:rsid w:val="00711519"/>
    <w:rsid w:val="00712F5F"/>
    <w:rsid w:val="00713561"/>
    <w:rsid w:val="00714218"/>
    <w:rsid w:val="007210EB"/>
    <w:rsid w:val="00736BF5"/>
    <w:rsid w:val="00737C6D"/>
    <w:rsid w:val="007403AF"/>
    <w:rsid w:val="00740784"/>
    <w:rsid w:val="00741323"/>
    <w:rsid w:val="007421C5"/>
    <w:rsid w:val="0074532A"/>
    <w:rsid w:val="0074604D"/>
    <w:rsid w:val="00747CF7"/>
    <w:rsid w:val="007548E9"/>
    <w:rsid w:val="0075597A"/>
    <w:rsid w:val="00761A9F"/>
    <w:rsid w:val="00763A33"/>
    <w:rsid w:val="00765356"/>
    <w:rsid w:val="00770438"/>
    <w:rsid w:val="00772088"/>
    <w:rsid w:val="00776515"/>
    <w:rsid w:val="007767E3"/>
    <w:rsid w:val="00786267"/>
    <w:rsid w:val="0079519F"/>
    <w:rsid w:val="00795516"/>
    <w:rsid w:val="007A6586"/>
    <w:rsid w:val="007B281E"/>
    <w:rsid w:val="007B29F4"/>
    <w:rsid w:val="007B2F9B"/>
    <w:rsid w:val="007B4D36"/>
    <w:rsid w:val="007B5DDA"/>
    <w:rsid w:val="007C0811"/>
    <w:rsid w:val="007C0A46"/>
    <w:rsid w:val="007C1C00"/>
    <w:rsid w:val="007C21FB"/>
    <w:rsid w:val="007D0B61"/>
    <w:rsid w:val="007D13AE"/>
    <w:rsid w:val="007D27B7"/>
    <w:rsid w:val="007D371E"/>
    <w:rsid w:val="007D37C8"/>
    <w:rsid w:val="007D479E"/>
    <w:rsid w:val="007E7273"/>
    <w:rsid w:val="007F15A5"/>
    <w:rsid w:val="007F2A50"/>
    <w:rsid w:val="007F4792"/>
    <w:rsid w:val="007F4C38"/>
    <w:rsid w:val="00801004"/>
    <w:rsid w:val="008047D0"/>
    <w:rsid w:val="0080672D"/>
    <w:rsid w:val="008067E0"/>
    <w:rsid w:val="0081340D"/>
    <w:rsid w:val="00813E9F"/>
    <w:rsid w:val="00822DEE"/>
    <w:rsid w:val="00825F0F"/>
    <w:rsid w:val="00826B76"/>
    <w:rsid w:val="0083047F"/>
    <w:rsid w:val="0084055E"/>
    <w:rsid w:val="00846151"/>
    <w:rsid w:val="00846904"/>
    <w:rsid w:val="00847974"/>
    <w:rsid w:val="00847B23"/>
    <w:rsid w:val="0085106E"/>
    <w:rsid w:val="008521AE"/>
    <w:rsid w:val="00855FB0"/>
    <w:rsid w:val="00861B7A"/>
    <w:rsid w:val="00863187"/>
    <w:rsid w:val="00871B03"/>
    <w:rsid w:val="0087373A"/>
    <w:rsid w:val="008762E2"/>
    <w:rsid w:val="00880207"/>
    <w:rsid w:val="00881C50"/>
    <w:rsid w:val="00890FA2"/>
    <w:rsid w:val="00891419"/>
    <w:rsid w:val="008924D5"/>
    <w:rsid w:val="00896DB6"/>
    <w:rsid w:val="008A5378"/>
    <w:rsid w:val="008B0073"/>
    <w:rsid w:val="008B7B90"/>
    <w:rsid w:val="008C4954"/>
    <w:rsid w:val="008D1616"/>
    <w:rsid w:val="008D1AE0"/>
    <w:rsid w:val="008D21BF"/>
    <w:rsid w:val="008D460E"/>
    <w:rsid w:val="008D48CD"/>
    <w:rsid w:val="008E0AC6"/>
    <w:rsid w:val="008E28B2"/>
    <w:rsid w:val="008E2946"/>
    <w:rsid w:val="008E3F7E"/>
    <w:rsid w:val="008E58B0"/>
    <w:rsid w:val="008E5D51"/>
    <w:rsid w:val="008E618B"/>
    <w:rsid w:val="008F1915"/>
    <w:rsid w:val="008F406B"/>
    <w:rsid w:val="008F5B97"/>
    <w:rsid w:val="008F6AB0"/>
    <w:rsid w:val="00901548"/>
    <w:rsid w:val="0092151B"/>
    <w:rsid w:val="00924364"/>
    <w:rsid w:val="0092756D"/>
    <w:rsid w:val="00931944"/>
    <w:rsid w:val="009333B6"/>
    <w:rsid w:val="00937175"/>
    <w:rsid w:val="00943F10"/>
    <w:rsid w:val="009452A9"/>
    <w:rsid w:val="00950727"/>
    <w:rsid w:val="009511B3"/>
    <w:rsid w:val="009524A0"/>
    <w:rsid w:val="00952E1E"/>
    <w:rsid w:val="0095473E"/>
    <w:rsid w:val="00960ACB"/>
    <w:rsid w:val="00962485"/>
    <w:rsid w:val="0096736C"/>
    <w:rsid w:val="00967E81"/>
    <w:rsid w:val="00970841"/>
    <w:rsid w:val="009710A5"/>
    <w:rsid w:val="00971D96"/>
    <w:rsid w:val="00980B39"/>
    <w:rsid w:val="00984749"/>
    <w:rsid w:val="00986EE6"/>
    <w:rsid w:val="00990488"/>
    <w:rsid w:val="009976C8"/>
    <w:rsid w:val="00997CC5"/>
    <w:rsid w:val="009A0E0C"/>
    <w:rsid w:val="009B1504"/>
    <w:rsid w:val="009B49A5"/>
    <w:rsid w:val="009C3076"/>
    <w:rsid w:val="009C44E2"/>
    <w:rsid w:val="009C548B"/>
    <w:rsid w:val="009C7447"/>
    <w:rsid w:val="009D3528"/>
    <w:rsid w:val="009E3344"/>
    <w:rsid w:val="009F2019"/>
    <w:rsid w:val="009F5916"/>
    <w:rsid w:val="009F591A"/>
    <w:rsid w:val="009F78F4"/>
    <w:rsid w:val="00A00351"/>
    <w:rsid w:val="00A04B32"/>
    <w:rsid w:val="00A14902"/>
    <w:rsid w:val="00A20731"/>
    <w:rsid w:val="00A2585B"/>
    <w:rsid w:val="00A26836"/>
    <w:rsid w:val="00A526CC"/>
    <w:rsid w:val="00A53FB3"/>
    <w:rsid w:val="00A54F4F"/>
    <w:rsid w:val="00A60E33"/>
    <w:rsid w:val="00A62232"/>
    <w:rsid w:val="00A767B1"/>
    <w:rsid w:val="00A81D3D"/>
    <w:rsid w:val="00A824A5"/>
    <w:rsid w:val="00A82EC9"/>
    <w:rsid w:val="00A94E2F"/>
    <w:rsid w:val="00A956D4"/>
    <w:rsid w:val="00A96406"/>
    <w:rsid w:val="00AA73AF"/>
    <w:rsid w:val="00AB0669"/>
    <w:rsid w:val="00AB0CD0"/>
    <w:rsid w:val="00AB26B5"/>
    <w:rsid w:val="00AB470E"/>
    <w:rsid w:val="00AB7870"/>
    <w:rsid w:val="00AC16B8"/>
    <w:rsid w:val="00AC3E8D"/>
    <w:rsid w:val="00AC5C15"/>
    <w:rsid w:val="00AC6D67"/>
    <w:rsid w:val="00AE173F"/>
    <w:rsid w:val="00AE3F1C"/>
    <w:rsid w:val="00AE758D"/>
    <w:rsid w:val="00AF1A1D"/>
    <w:rsid w:val="00AF1E3C"/>
    <w:rsid w:val="00AF4192"/>
    <w:rsid w:val="00B01957"/>
    <w:rsid w:val="00B10734"/>
    <w:rsid w:val="00B12A90"/>
    <w:rsid w:val="00B12F64"/>
    <w:rsid w:val="00B13681"/>
    <w:rsid w:val="00B136D8"/>
    <w:rsid w:val="00B15137"/>
    <w:rsid w:val="00B24F5A"/>
    <w:rsid w:val="00B24F88"/>
    <w:rsid w:val="00B25CEF"/>
    <w:rsid w:val="00B37C5F"/>
    <w:rsid w:val="00B37E52"/>
    <w:rsid w:val="00B4010C"/>
    <w:rsid w:val="00B40837"/>
    <w:rsid w:val="00B44D48"/>
    <w:rsid w:val="00B5124A"/>
    <w:rsid w:val="00B51691"/>
    <w:rsid w:val="00B53254"/>
    <w:rsid w:val="00B53D4D"/>
    <w:rsid w:val="00B635F1"/>
    <w:rsid w:val="00B674F6"/>
    <w:rsid w:val="00B827B6"/>
    <w:rsid w:val="00B8543C"/>
    <w:rsid w:val="00B86017"/>
    <w:rsid w:val="00B8724A"/>
    <w:rsid w:val="00B87615"/>
    <w:rsid w:val="00B927BE"/>
    <w:rsid w:val="00BA2514"/>
    <w:rsid w:val="00BA431E"/>
    <w:rsid w:val="00BA4329"/>
    <w:rsid w:val="00BA601D"/>
    <w:rsid w:val="00BA7D7C"/>
    <w:rsid w:val="00BB2890"/>
    <w:rsid w:val="00BB3781"/>
    <w:rsid w:val="00BB567F"/>
    <w:rsid w:val="00BB6D16"/>
    <w:rsid w:val="00BC6BF8"/>
    <w:rsid w:val="00BD272D"/>
    <w:rsid w:val="00BD4535"/>
    <w:rsid w:val="00BD7383"/>
    <w:rsid w:val="00BD7E0A"/>
    <w:rsid w:val="00BE243E"/>
    <w:rsid w:val="00BE396A"/>
    <w:rsid w:val="00BE3ADB"/>
    <w:rsid w:val="00BE3FA0"/>
    <w:rsid w:val="00BE4B2B"/>
    <w:rsid w:val="00BE5EB4"/>
    <w:rsid w:val="00BF789F"/>
    <w:rsid w:val="00C01941"/>
    <w:rsid w:val="00C01E11"/>
    <w:rsid w:val="00C02A03"/>
    <w:rsid w:val="00C02CFE"/>
    <w:rsid w:val="00C02E08"/>
    <w:rsid w:val="00C032AF"/>
    <w:rsid w:val="00C05014"/>
    <w:rsid w:val="00C05206"/>
    <w:rsid w:val="00C07CB8"/>
    <w:rsid w:val="00C07DCC"/>
    <w:rsid w:val="00C1097F"/>
    <w:rsid w:val="00C17F38"/>
    <w:rsid w:val="00C2275D"/>
    <w:rsid w:val="00C26443"/>
    <w:rsid w:val="00C36FF6"/>
    <w:rsid w:val="00C371EF"/>
    <w:rsid w:val="00C37F3C"/>
    <w:rsid w:val="00C4769D"/>
    <w:rsid w:val="00C544AB"/>
    <w:rsid w:val="00C54A62"/>
    <w:rsid w:val="00C555DE"/>
    <w:rsid w:val="00C557A6"/>
    <w:rsid w:val="00C561A9"/>
    <w:rsid w:val="00C56B15"/>
    <w:rsid w:val="00C57E11"/>
    <w:rsid w:val="00C60743"/>
    <w:rsid w:val="00C61637"/>
    <w:rsid w:val="00C72459"/>
    <w:rsid w:val="00C85F85"/>
    <w:rsid w:val="00C86787"/>
    <w:rsid w:val="00CB303B"/>
    <w:rsid w:val="00CC0EC7"/>
    <w:rsid w:val="00CC23CD"/>
    <w:rsid w:val="00CD1347"/>
    <w:rsid w:val="00CD1F01"/>
    <w:rsid w:val="00CD3923"/>
    <w:rsid w:val="00CD5267"/>
    <w:rsid w:val="00CD71F0"/>
    <w:rsid w:val="00CD7F8E"/>
    <w:rsid w:val="00CE2F8F"/>
    <w:rsid w:val="00CE3BDF"/>
    <w:rsid w:val="00CE6D62"/>
    <w:rsid w:val="00CF194E"/>
    <w:rsid w:val="00CF3C3E"/>
    <w:rsid w:val="00CF3D90"/>
    <w:rsid w:val="00CF695A"/>
    <w:rsid w:val="00CF6A9F"/>
    <w:rsid w:val="00CF6D1B"/>
    <w:rsid w:val="00CF7C3F"/>
    <w:rsid w:val="00D00419"/>
    <w:rsid w:val="00D0113D"/>
    <w:rsid w:val="00D023B6"/>
    <w:rsid w:val="00D055DA"/>
    <w:rsid w:val="00D055DC"/>
    <w:rsid w:val="00D063BB"/>
    <w:rsid w:val="00D13949"/>
    <w:rsid w:val="00D153E7"/>
    <w:rsid w:val="00D1540A"/>
    <w:rsid w:val="00D159DD"/>
    <w:rsid w:val="00D2200E"/>
    <w:rsid w:val="00D233F1"/>
    <w:rsid w:val="00D27890"/>
    <w:rsid w:val="00D27ED4"/>
    <w:rsid w:val="00D30ECB"/>
    <w:rsid w:val="00D3173F"/>
    <w:rsid w:val="00D344AA"/>
    <w:rsid w:val="00D4003B"/>
    <w:rsid w:val="00D446E4"/>
    <w:rsid w:val="00D51C2A"/>
    <w:rsid w:val="00D52F4D"/>
    <w:rsid w:val="00D533E3"/>
    <w:rsid w:val="00D57295"/>
    <w:rsid w:val="00D57965"/>
    <w:rsid w:val="00D60C6A"/>
    <w:rsid w:val="00D72C00"/>
    <w:rsid w:val="00D775D3"/>
    <w:rsid w:val="00D82D8B"/>
    <w:rsid w:val="00D84690"/>
    <w:rsid w:val="00D87A18"/>
    <w:rsid w:val="00D90CE2"/>
    <w:rsid w:val="00D92711"/>
    <w:rsid w:val="00D9326E"/>
    <w:rsid w:val="00DA096A"/>
    <w:rsid w:val="00DA0D1C"/>
    <w:rsid w:val="00DA3D7E"/>
    <w:rsid w:val="00DB0BC4"/>
    <w:rsid w:val="00DB35BC"/>
    <w:rsid w:val="00DB600D"/>
    <w:rsid w:val="00DB6615"/>
    <w:rsid w:val="00DC025E"/>
    <w:rsid w:val="00DC2E6A"/>
    <w:rsid w:val="00DC38F6"/>
    <w:rsid w:val="00DC6B25"/>
    <w:rsid w:val="00DD05BD"/>
    <w:rsid w:val="00DD0C9D"/>
    <w:rsid w:val="00DD213F"/>
    <w:rsid w:val="00DD2895"/>
    <w:rsid w:val="00DE1A00"/>
    <w:rsid w:val="00DE4A5B"/>
    <w:rsid w:val="00DE6128"/>
    <w:rsid w:val="00DE69AC"/>
    <w:rsid w:val="00DE78B4"/>
    <w:rsid w:val="00DF01D6"/>
    <w:rsid w:val="00DF5AF7"/>
    <w:rsid w:val="00DF686F"/>
    <w:rsid w:val="00DF6B28"/>
    <w:rsid w:val="00E02499"/>
    <w:rsid w:val="00E07791"/>
    <w:rsid w:val="00E11361"/>
    <w:rsid w:val="00E13213"/>
    <w:rsid w:val="00E14059"/>
    <w:rsid w:val="00E22927"/>
    <w:rsid w:val="00E30A7F"/>
    <w:rsid w:val="00E37504"/>
    <w:rsid w:val="00E437D8"/>
    <w:rsid w:val="00E473EE"/>
    <w:rsid w:val="00E52330"/>
    <w:rsid w:val="00E52AC0"/>
    <w:rsid w:val="00E55353"/>
    <w:rsid w:val="00E56063"/>
    <w:rsid w:val="00E6618D"/>
    <w:rsid w:val="00E67861"/>
    <w:rsid w:val="00E70CA5"/>
    <w:rsid w:val="00E74F06"/>
    <w:rsid w:val="00E75520"/>
    <w:rsid w:val="00E80BE4"/>
    <w:rsid w:val="00E84763"/>
    <w:rsid w:val="00E8536A"/>
    <w:rsid w:val="00E86927"/>
    <w:rsid w:val="00E911A0"/>
    <w:rsid w:val="00E93867"/>
    <w:rsid w:val="00E97EDC"/>
    <w:rsid w:val="00EA20A3"/>
    <w:rsid w:val="00EA2823"/>
    <w:rsid w:val="00EA41E3"/>
    <w:rsid w:val="00EA4292"/>
    <w:rsid w:val="00EA5108"/>
    <w:rsid w:val="00EB029E"/>
    <w:rsid w:val="00EB741D"/>
    <w:rsid w:val="00EB7AC3"/>
    <w:rsid w:val="00EB7DE0"/>
    <w:rsid w:val="00EC1E45"/>
    <w:rsid w:val="00EC42ED"/>
    <w:rsid w:val="00ED0A98"/>
    <w:rsid w:val="00ED35C5"/>
    <w:rsid w:val="00ED6112"/>
    <w:rsid w:val="00EE71AF"/>
    <w:rsid w:val="00EF0B63"/>
    <w:rsid w:val="00EF167F"/>
    <w:rsid w:val="00EF23CF"/>
    <w:rsid w:val="00F0169A"/>
    <w:rsid w:val="00F01DC5"/>
    <w:rsid w:val="00F0631A"/>
    <w:rsid w:val="00F0648B"/>
    <w:rsid w:val="00F065EE"/>
    <w:rsid w:val="00F07892"/>
    <w:rsid w:val="00F1345E"/>
    <w:rsid w:val="00F13B01"/>
    <w:rsid w:val="00F148DE"/>
    <w:rsid w:val="00F14BB7"/>
    <w:rsid w:val="00F15C49"/>
    <w:rsid w:val="00F16F78"/>
    <w:rsid w:val="00F258A5"/>
    <w:rsid w:val="00F26C67"/>
    <w:rsid w:val="00F32B99"/>
    <w:rsid w:val="00F35483"/>
    <w:rsid w:val="00F35A07"/>
    <w:rsid w:val="00F373C8"/>
    <w:rsid w:val="00F3766A"/>
    <w:rsid w:val="00F376E5"/>
    <w:rsid w:val="00F377D7"/>
    <w:rsid w:val="00F37C01"/>
    <w:rsid w:val="00F403AD"/>
    <w:rsid w:val="00F4511F"/>
    <w:rsid w:val="00F50FE9"/>
    <w:rsid w:val="00F51F1D"/>
    <w:rsid w:val="00F52C9A"/>
    <w:rsid w:val="00F56B29"/>
    <w:rsid w:val="00F62D31"/>
    <w:rsid w:val="00F6303B"/>
    <w:rsid w:val="00F65274"/>
    <w:rsid w:val="00F67DE9"/>
    <w:rsid w:val="00F728F9"/>
    <w:rsid w:val="00F74723"/>
    <w:rsid w:val="00F8053F"/>
    <w:rsid w:val="00F83E41"/>
    <w:rsid w:val="00F852FE"/>
    <w:rsid w:val="00F86798"/>
    <w:rsid w:val="00F86F8F"/>
    <w:rsid w:val="00F906ED"/>
    <w:rsid w:val="00F91C64"/>
    <w:rsid w:val="00F97071"/>
    <w:rsid w:val="00FA0A59"/>
    <w:rsid w:val="00FA3CC0"/>
    <w:rsid w:val="00FB37E5"/>
    <w:rsid w:val="00FB62E6"/>
    <w:rsid w:val="00FB78EB"/>
    <w:rsid w:val="00FC1518"/>
    <w:rsid w:val="00FC7A5D"/>
    <w:rsid w:val="00FD735C"/>
    <w:rsid w:val="00FD7F83"/>
    <w:rsid w:val="00FE42FE"/>
    <w:rsid w:val="00FF60C0"/>
    <w:rsid w:val="00FF6E9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7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65D7D"/>
    <w:pPr>
      <w:keepNext/>
      <w:tabs>
        <w:tab w:val="left" w:pos="540"/>
        <w:tab w:val="right" w:pos="9000"/>
      </w:tabs>
      <w:jc w:val="both"/>
      <w:outlineLvl w:val="0"/>
    </w:pPr>
    <w:rPr>
      <w:rFonts w:ascii="Arial" w:hAnsi="Arial"/>
      <w:b/>
      <w:caps/>
    </w:rPr>
  </w:style>
  <w:style w:type="paragraph" w:styleId="Nadpis2">
    <w:name w:val="heading 2"/>
    <w:basedOn w:val="Normln"/>
    <w:next w:val="Normln"/>
    <w:qFormat/>
    <w:rsid w:val="00F74723"/>
    <w:pPr>
      <w:keepNext/>
      <w:numPr>
        <w:numId w:val="4"/>
      </w:numPr>
      <w:jc w:val="both"/>
      <w:outlineLvl w:val="1"/>
    </w:pPr>
    <w:rPr>
      <w:rFonts w:ascii="Arial" w:hAnsi="Arial"/>
      <w:b/>
      <w:smallCaps/>
      <w:sz w:val="2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C32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C1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DC5"/>
    <w:pPr>
      <w:ind w:left="720"/>
      <w:contextualSpacing/>
    </w:pPr>
  </w:style>
  <w:style w:type="character" w:styleId="Sledovanodkaz">
    <w:name w:val="FollowedHyperlink"/>
    <w:basedOn w:val="Standardnpsmoodstavce"/>
    <w:rsid w:val="00212DE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pZMSgiyzIdr75kDxsA3/6CK/78KaDpFqs97vzDrbk+s=</DigestValue>
    </Reference>
    <Reference Type="http://www.w3.org/2000/09/xmldsig#Object" URI="#idOfficeObject">
      <DigestMethod Algorithm="http://www.w3.org/2001/04/xmlenc#sha256"/>
      <DigestValue>NwpUXjJ76J0evu7aocUECp2ee5O3sgEPFMp2Q0tTDbM=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VnwJbxEv08FDLReglPFjoWePBKz7fHIgjV0ZTXxgDqY=</DigestValue>
    </Reference>
  </SignedInfo>
  <SignatureValue>OrSIPVXIPVTuiyzt+hV5PLKyQFUun7FY0Uv9LkiYgKMxNU0v+RrvEtHgqXV+XmkJ5PwluzS2mMLX
QAVnQ1wzNS65Z+nkxjH/QftoHVTcy44gqlCZ3Zulb2B/o3GGzo4cy0YWOKZK1c9Yh4SsYx7odUuV
/Ti8Nf3B2pcSaWTpIV0EPSjI1b6jfTbradHeFBSNS8WDWr5LCFkyIJaS8P+yyF1HVOhZP4wNEPv2
FlEg4DHL+OeoCdh1OZTVv0hAVqRcdqRQyHKDnmn2D0KmJ+kP4RAM+HR0tVYpPjTndKR4IwHdxVb0
fbHhI3ixM/ViggE0kYxf5ZUl9ZRJDGfI9oa22A==</SignatureValue>
  <KeyInfo>
    <X509Data>
      <X509Certificate>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IT7gTZvOLJFXbolFvuvIRyBO3X3MA0GCSqGSIb3DQEBCwUAA4IBAQApJN43RD1D3Qoh0bDGFJiWAJAPd+Rj+BpGquu5y61Suhx08CeZv5z6/8yQec3+s2O0DatW5aD3KNz0/S9/DySKfO/JzKJhjP12xwT3RRW74xIdhEap6W41rYfouILGq0e3luvj1Hbp/TufYS+uUT3/4574rre08PqHKSBqizUHLhaqYO6K2p1VSPTxd6LsR0kIJfL4dJ+c8F6hhPwK4EwZw4EqQKgVRJT5iC8YeQ2jNvE0AGPD5ngljqN7LFZQUL1gVxjOMG3rFjiG+jGv8zod5PCjYXDkGCH36FHojc2PcfMqV8HzXeJbSWgAvNmF3IB2dESU6ME4J5dydU4ezx7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RKc/RHTWOgQxDGqDrWiqOrT0OVfdWgwwX9WPkr3JE90=</DigestValue>
      </Reference>
      <Reference URI="/word/endnotes.xml?ContentType=application/vnd.openxmlformats-officedocument.wordprocessingml.endnotes+xml">
        <DigestMethod Algorithm="http://www.w3.org/2001/04/xmlenc#sha256"/>
        <DigestValue>A5HleqVSs/lUuPGkNnKkF2HG1kDJBOFbZlPmAcETmaY=</DigestValue>
      </Reference>
      <Reference URI="/word/fontTable.xml?ContentType=application/vnd.openxmlformats-officedocument.wordprocessingml.fontTable+xml">
        <DigestMethod Algorithm="http://www.w3.org/2001/04/xmlenc#sha256"/>
        <DigestValue>eXlXyQKg9TJFRX+jvI/9C30nqU8LhJnofkv5ltMrQ+Y=</DigestValue>
      </Reference>
      <Reference URI="/word/footer1.xml?ContentType=application/vnd.openxmlformats-officedocument.wordprocessingml.footer+xml">
        <DigestMethod Algorithm="http://www.w3.org/2001/04/xmlenc#sha256"/>
        <DigestValue>ERztUZGzG2islNj8g54S+KR+iWBMB0n4ENRo0Wyvxys=</DigestValue>
      </Reference>
      <Reference URI="/word/footnotes.xml?ContentType=application/vnd.openxmlformats-officedocument.wordprocessingml.footnotes+xml">
        <DigestMethod Algorithm="http://www.w3.org/2001/04/xmlenc#sha256"/>
        <DigestValue>xmwWtV5F1s2XyhTPcyeO3QT21GZS0SSnB9RXM7bPoNs=</DigestValue>
      </Reference>
      <Reference URI="/word/header1.xml?ContentType=application/vnd.openxmlformats-officedocument.wordprocessingml.header+xml">
        <DigestMethod Algorithm="http://www.w3.org/2001/04/xmlenc#sha256"/>
        <DigestValue>lTYLS6FwVlKjOuK87tYcSiXJgZe85c5ulA8TLZ7F/vE=</DigestValue>
      </Reference>
      <Reference URI="/word/media/image1.png?ContentType=image/png">
        <DigestMethod Algorithm="http://www.w3.org/2001/04/xmlenc#sha256"/>
        <DigestValue>UrL55F7OOb/zYW55IxnN8pOn5MCOrZ0Lmg9dzcANV3U=</DigestValue>
      </Reference>
      <Reference URI="/word/numbering.xml?ContentType=application/vnd.openxmlformats-officedocument.wordprocessingml.numbering+xml">
        <DigestMethod Algorithm="http://www.w3.org/2001/04/xmlenc#sha256"/>
        <DigestValue>dspif1pLcLduLBCggTXdaZV+6WJpH3nVU2cPr8RZKO4=</DigestValue>
      </Reference>
      <Reference URI="/word/settings.xml?ContentType=application/vnd.openxmlformats-officedocument.wordprocessingml.settings+xml">
        <DigestMethod Algorithm="http://www.w3.org/2001/04/xmlenc#sha256"/>
        <DigestValue>QHGMmox9pqzmuX8Aaj/1Mt7+jp0KU97IotCZeLg+gLU=</DigestValue>
      </Reference>
      <Reference URI="/word/styles.xml?ContentType=application/vnd.openxmlformats-officedocument.wordprocessingml.styles+xml">
        <DigestMethod Algorithm="http://www.w3.org/2001/04/xmlenc#sha256"/>
        <DigestValue>ZgKnD84LoOMXRSPQoB9/w2xykMmjHPbYWE1bCHtkV+E=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IjnrFPcCWyWLxX+l3LU8TsTbg0qYIOK02K5wr1pPA0U=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2019-10-14T13:24:06Z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2019-10-14T13:24:06Z</xd:SigningTime>
          <xd:SigningCertificate>
            <xd:Cert>
              <xd:CertDigest>
                <DigestMethod Algorithm="http://www.w3.org/2001/04/xmlenc#sha256"/>
                <DigestValue>fM/t4+rlmv2yvKXxe6hpZIDKoLsuo7R5AqTJVfKZRTg=</DigestValue>
              </xd:CertDigest>
              <xd:IssuerSerial>
                <X509IssuerName>CN=PostSignum Qualified CA 3, O="Česká pošta, s.p. [IČ 47114983]", C=CZ</X509IssuerName>
                <X509SerialNumber>5162254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9482-05A9-4321-867B-D82F24D3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2138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2019-10-14T13:23:00Z</dcterms:created>
  <dcterms:modified xsi:type="dcterms:W3CDTF">2019-10-14T13:23:00Z</dcterms:modified>
</cp:coreProperties>
</file>