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84" w:rsidRPr="001E6339" w:rsidRDefault="00823518" w:rsidP="00A27C6F">
      <w:pPr>
        <w:spacing w:before="120"/>
        <w:jc w:val="center"/>
      </w:pPr>
      <w:r w:rsidRPr="001E6339">
        <w:rPr>
          <w:b/>
        </w:rPr>
        <w:t>NÁVRH</w:t>
      </w:r>
    </w:p>
    <w:p w:rsidR="003F1BEC" w:rsidRPr="001E6339" w:rsidRDefault="003F1BEC" w:rsidP="00A27C6F">
      <w:pPr>
        <w:spacing w:before="1080"/>
        <w:ind w:left="6379"/>
      </w:pPr>
      <w:r w:rsidRPr="001E6339">
        <w:t>Praha</w:t>
      </w:r>
      <w:r w:rsidR="003D7F5B" w:rsidRPr="001E6339">
        <w:t xml:space="preserve"> </w:t>
      </w:r>
      <w:r w:rsidR="009F60E1" w:rsidRPr="001E6339">
        <w:t xml:space="preserve">XX. </w:t>
      </w:r>
      <w:r w:rsidR="00EB0D3F" w:rsidRPr="001E6339">
        <w:t>XXX</w:t>
      </w:r>
      <w:r w:rsidR="00C01BC4" w:rsidRPr="001E6339">
        <w:t>X</w:t>
      </w:r>
      <w:r w:rsidR="006252B5" w:rsidRPr="001E6339">
        <w:t xml:space="preserve"> </w:t>
      </w:r>
      <w:r w:rsidR="00545792" w:rsidRPr="001E6339">
        <w:t>20</w:t>
      </w:r>
      <w:r w:rsidR="00204D00" w:rsidRPr="001E6339">
        <w:t>1</w:t>
      </w:r>
      <w:r w:rsidR="00D669E8" w:rsidRPr="001E6339">
        <w:t>8</w:t>
      </w:r>
    </w:p>
    <w:p w:rsidR="005C5882" w:rsidRPr="001E6339" w:rsidRDefault="003F1BEC" w:rsidP="00A27C6F">
      <w:pPr>
        <w:ind w:left="6379"/>
      </w:pPr>
      <w:r w:rsidRPr="001E6339">
        <w:t xml:space="preserve">Čj. </w:t>
      </w:r>
      <w:r w:rsidR="004104B5" w:rsidRPr="001E6339">
        <w:t>ČTÚ-</w:t>
      </w:r>
      <w:r w:rsidR="00D73657" w:rsidRPr="001E6339">
        <w:t>54 808</w:t>
      </w:r>
      <w:r w:rsidR="00E92559" w:rsidRPr="001E6339">
        <w:t>/20</w:t>
      </w:r>
      <w:r w:rsidR="00FB1E3F" w:rsidRPr="001E6339">
        <w:t>1</w:t>
      </w:r>
      <w:r w:rsidR="006A14BC" w:rsidRPr="001E6339">
        <w:t>7</w:t>
      </w:r>
      <w:r w:rsidRPr="001E6339">
        <w:t>-611</w:t>
      </w:r>
    </w:p>
    <w:p w:rsidR="00A8227F" w:rsidRPr="001E6339" w:rsidRDefault="00A8227F" w:rsidP="00A27C6F">
      <w:pPr>
        <w:spacing w:before="720"/>
        <w:ind w:firstLine="709"/>
        <w:jc w:val="both"/>
      </w:pPr>
      <w:r w:rsidRPr="001E6339">
        <w:rPr>
          <w:rFonts w:cs="Arial"/>
        </w:rPr>
        <w:t xml:space="preserve">Rada Českého telekomunikačního úřadu jako příslušný </w:t>
      </w:r>
      <w:r w:rsidR="00883D22" w:rsidRPr="001E6339">
        <w:rPr>
          <w:rFonts w:cs="Arial"/>
        </w:rPr>
        <w:t xml:space="preserve">správní orgán </w:t>
      </w:r>
      <w:r w:rsidRPr="001E6339">
        <w:rPr>
          <w:rFonts w:cs="Arial"/>
        </w:rPr>
        <w:t>podl</w:t>
      </w:r>
      <w:r w:rsidR="009D5D45" w:rsidRPr="001E6339">
        <w:rPr>
          <w:rFonts w:cs="Arial"/>
        </w:rPr>
        <w:t xml:space="preserve">e </w:t>
      </w:r>
      <w:r w:rsidR="00FE69CA" w:rsidRPr="001E6339">
        <w:rPr>
          <w:rFonts w:cs="Arial"/>
        </w:rPr>
        <w:t>§ 10 zákona č. 500/2004 Sb., správní řád, ve znění pozdějších předpisů</w:t>
      </w:r>
      <w:r w:rsidR="0067376A" w:rsidRPr="001E6339">
        <w:rPr>
          <w:rFonts w:cs="Arial"/>
        </w:rPr>
        <w:t xml:space="preserve"> a</w:t>
      </w:r>
      <w:r w:rsidR="00FE69CA" w:rsidRPr="001E6339">
        <w:rPr>
          <w:rFonts w:cs="Arial"/>
        </w:rPr>
        <w:t xml:space="preserve"> podle § </w:t>
      </w:r>
      <w:r w:rsidR="009D5D45" w:rsidRPr="001E6339">
        <w:rPr>
          <w:rFonts w:cs="Arial"/>
        </w:rPr>
        <w:t xml:space="preserve">107 odst. </w:t>
      </w:r>
      <w:r w:rsidR="00204D00" w:rsidRPr="001E6339">
        <w:rPr>
          <w:rFonts w:cs="Arial"/>
        </w:rPr>
        <w:t>9</w:t>
      </w:r>
      <w:r w:rsidR="009D5D45" w:rsidRPr="001E6339">
        <w:rPr>
          <w:rFonts w:cs="Arial"/>
        </w:rPr>
        <w:t xml:space="preserve"> písm. b)</w:t>
      </w:r>
      <w:r w:rsidR="00F42D8A" w:rsidRPr="001E6339">
        <w:rPr>
          <w:rFonts w:cs="Arial"/>
        </w:rPr>
        <w:t xml:space="preserve"> </w:t>
      </w:r>
      <w:r w:rsidR="0024138D" w:rsidRPr="001E6339">
        <w:rPr>
          <w:rFonts w:cs="Arial"/>
        </w:rPr>
        <w:t>bodu 3</w:t>
      </w:r>
      <w:r w:rsidR="009D5D45" w:rsidRPr="001E6339">
        <w:rPr>
          <w:rFonts w:cs="Arial"/>
        </w:rPr>
        <w:t xml:space="preserve"> </w:t>
      </w:r>
      <w:r w:rsidRPr="001E6339">
        <w:rPr>
          <w:rFonts w:cs="Arial"/>
        </w:rPr>
        <w:t>zákona č. 127/2005 Sb., o elektronických komunikacích a o změně některých souvisejících zákonů (zákon o elektronických komunikacích), ve znění pozdějších předpisů, (dále jen „Zákon“)</w:t>
      </w:r>
      <w:r w:rsidR="00FE69CA" w:rsidRPr="001E6339">
        <w:rPr>
          <w:rFonts w:cs="Arial"/>
        </w:rPr>
        <w:t>,</w:t>
      </w:r>
      <w:r w:rsidR="00254D22" w:rsidRPr="001E6339">
        <w:rPr>
          <w:rFonts w:cs="Arial"/>
        </w:rPr>
        <w:t xml:space="preserve"> </w:t>
      </w:r>
      <w:r w:rsidRPr="001E6339">
        <w:rPr>
          <w:rFonts w:cs="Arial"/>
        </w:rPr>
        <w:t>vydává v</w:t>
      </w:r>
      <w:r w:rsidR="00FE69CA" w:rsidRPr="001E6339">
        <w:rPr>
          <w:rFonts w:cs="Arial"/>
        </w:rPr>
        <w:t> </w:t>
      </w:r>
      <w:r w:rsidRPr="001E6339">
        <w:rPr>
          <w:rFonts w:cs="Arial"/>
        </w:rPr>
        <w:t>řízení</w:t>
      </w:r>
      <w:r w:rsidR="00FE69CA" w:rsidRPr="001E6339">
        <w:rPr>
          <w:rFonts w:cs="Arial"/>
        </w:rPr>
        <w:t xml:space="preserve"> se společnost</w:t>
      </w:r>
      <w:r w:rsidR="00B9365C" w:rsidRPr="001E6339">
        <w:rPr>
          <w:rFonts w:cs="Arial"/>
        </w:rPr>
        <w:t>í</w:t>
      </w:r>
      <w:r w:rsidR="00FE69CA" w:rsidRPr="001E6339">
        <w:rPr>
          <w:rFonts w:cs="Arial"/>
        </w:rPr>
        <w:t xml:space="preserve"> </w:t>
      </w:r>
      <w:r w:rsidR="006A14BC" w:rsidRPr="001E6339">
        <w:rPr>
          <w:b/>
        </w:rPr>
        <w:t>Česká telekomunikační infrastruktura a.s.</w:t>
      </w:r>
      <w:r w:rsidR="00FE69CA" w:rsidRPr="001E6339">
        <w:rPr>
          <w:rFonts w:cs="Arial"/>
        </w:rPr>
        <w:t xml:space="preserve">, se sídlem </w:t>
      </w:r>
      <w:r w:rsidR="006A14BC" w:rsidRPr="001E6339">
        <w:t>Olšanská 2681/6, 130 00 Praha 3</w:t>
      </w:r>
      <w:r w:rsidRPr="001E6339">
        <w:rPr>
          <w:rFonts w:cs="Arial"/>
        </w:rPr>
        <w:t>,</w:t>
      </w:r>
      <w:r w:rsidR="00043F1F" w:rsidRPr="001E6339">
        <w:rPr>
          <w:rFonts w:cs="Arial"/>
        </w:rPr>
        <w:t xml:space="preserve"> IČ</w:t>
      </w:r>
      <w:r w:rsidR="00D25DA6" w:rsidRPr="001E6339">
        <w:rPr>
          <w:rFonts w:cs="Arial"/>
        </w:rPr>
        <w:t>O</w:t>
      </w:r>
      <w:r w:rsidR="00043F1F" w:rsidRPr="001E6339">
        <w:rPr>
          <w:rFonts w:cs="Arial"/>
        </w:rPr>
        <w:t xml:space="preserve">: </w:t>
      </w:r>
      <w:r w:rsidR="006A14BC" w:rsidRPr="001E6339">
        <w:t>040</w:t>
      </w:r>
      <w:r w:rsidR="006C78A0" w:rsidRPr="001E6339">
        <w:t xml:space="preserve"> </w:t>
      </w:r>
      <w:r w:rsidR="006A14BC" w:rsidRPr="001E6339">
        <w:t>84</w:t>
      </w:r>
      <w:r w:rsidR="006C78A0" w:rsidRPr="001E6339">
        <w:t xml:space="preserve"> </w:t>
      </w:r>
      <w:r w:rsidR="006A14BC" w:rsidRPr="001E6339">
        <w:t>063</w:t>
      </w:r>
      <w:r w:rsidR="00043F1F" w:rsidRPr="001E6339">
        <w:rPr>
          <w:rFonts w:cs="Arial"/>
        </w:rPr>
        <w:t xml:space="preserve"> (dále jen „účastník řízení“), </w:t>
      </w:r>
      <w:r w:rsidR="0027754C" w:rsidRPr="001E6339">
        <w:rPr>
          <w:rFonts w:cs="Arial"/>
        </w:rPr>
        <w:t xml:space="preserve">zahájeném z moci úřední dne </w:t>
      </w:r>
      <w:r w:rsidR="00A01FBE">
        <w:rPr>
          <w:rFonts w:cs="Arial"/>
        </w:rPr>
        <w:t>8</w:t>
      </w:r>
      <w:r w:rsidR="0027754C" w:rsidRPr="001E6339">
        <w:rPr>
          <w:rFonts w:cs="Arial"/>
        </w:rPr>
        <w:t>.</w:t>
      </w:r>
      <w:r w:rsidR="00E56616" w:rsidRPr="001E6339">
        <w:rPr>
          <w:rFonts w:cs="Arial"/>
        </w:rPr>
        <w:t xml:space="preserve"> </w:t>
      </w:r>
      <w:r w:rsidR="000E6353" w:rsidRPr="001E6339">
        <w:rPr>
          <w:rFonts w:cs="Arial"/>
        </w:rPr>
        <w:t xml:space="preserve">září </w:t>
      </w:r>
      <w:r w:rsidR="00F73675" w:rsidRPr="001E6339">
        <w:rPr>
          <w:rFonts w:cs="Arial"/>
        </w:rPr>
        <w:t>201</w:t>
      </w:r>
      <w:r w:rsidR="006A14BC" w:rsidRPr="001E6339">
        <w:rPr>
          <w:rFonts w:cs="Arial"/>
        </w:rPr>
        <w:t>7</w:t>
      </w:r>
      <w:r w:rsidR="00C01BC4" w:rsidRPr="001E6339">
        <w:rPr>
          <w:rFonts w:cs="Arial"/>
        </w:rPr>
        <w:t>,</w:t>
      </w:r>
      <w:r w:rsidR="0027754C" w:rsidRPr="001E6339">
        <w:rPr>
          <w:rFonts w:cs="Arial"/>
        </w:rPr>
        <w:t xml:space="preserve"> ve věci uložení povinnosti související s regulací cen podniku s významnou tržní silou toto</w:t>
      </w:r>
    </w:p>
    <w:p w:rsidR="00A8227F" w:rsidRPr="001E6339" w:rsidRDefault="00A8227F" w:rsidP="00A27C6F">
      <w:pPr>
        <w:pStyle w:val="HlavStyl"/>
        <w:tabs>
          <w:tab w:val="center" w:pos="5954"/>
          <w:tab w:val="right" w:pos="9072"/>
        </w:tabs>
        <w:spacing w:before="480" w:after="0"/>
        <w:jc w:val="center"/>
        <w:rPr>
          <w:b/>
        </w:rPr>
      </w:pPr>
      <w:r w:rsidRPr="001E6339">
        <w:rPr>
          <w:b/>
        </w:rPr>
        <w:t>rozhodnutí</w:t>
      </w:r>
      <w:r w:rsidR="00C51B40" w:rsidRPr="001E6339">
        <w:rPr>
          <w:b/>
        </w:rPr>
        <w:t xml:space="preserve"> o ceně</w:t>
      </w:r>
      <w:r w:rsidR="00A50078" w:rsidRPr="001E6339">
        <w:rPr>
          <w:b/>
        </w:rPr>
        <w:t xml:space="preserve"> č.</w:t>
      </w:r>
      <w:r w:rsidR="003D7F5B" w:rsidRPr="001E6339">
        <w:rPr>
          <w:b/>
        </w:rPr>
        <w:t xml:space="preserve"> CEN/</w:t>
      </w:r>
      <w:r w:rsidR="006A14BC" w:rsidRPr="001E6339">
        <w:rPr>
          <w:b/>
        </w:rPr>
        <w:t>3</w:t>
      </w:r>
      <w:r w:rsidR="006F4F78" w:rsidRPr="001E6339">
        <w:rPr>
          <w:b/>
        </w:rPr>
        <w:t>a</w:t>
      </w:r>
      <w:r w:rsidR="003D7F5B" w:rsidRPr="001E6339">
        <w:rPr>
          <w:b/>
        </w:rPr>
        <w:t>/</w:t>
      </w:r>
      <w:r w:rsidR="009F60E1" w:rsidRPr="001E6339">
        <w:rPr>
          <w:b/>
        </w:rPr>
        <w:t>XX</w:t>
      </w:r>
      <w:r w:rsidR="00DB1117" w:rsidRPr="001E6339">
        <w:rPr>
          <w:b/>
        </w:rPr>
        <w:t>.20</w:t>
      </w:r>
      <w:r w:rsidR="00D76443" w:rsidRPr="001E6339">
        <w:rPr>
          <w:b/>
        </w:rPr>
        <w:t>1</w:t>
      </w:r>
      <w:r w:rsidR="001F59C4" w:rsidRPr="001E6339">
        <w:rPr>
          <w:b/>
        </w:rPr>
        <w:t>8</w:t>
      </w:r>
      <w:r w:rsidR="003D7F5B" w:rsidRPr="001E6339">
        <w:rPr>
          <w:b/>
        </w:rPr>
        <w:t>-</w:t>
      </w:r>
      <w:r w:rsidR="009F60E1" w:rsidRPr="001E6339">
        <w:rPr>
          <w:b/>
        </w:rPr>
        <w:t>Y</w:t>
      </w:r>
      <w:r w:rsidRPr="001E6339">
        <w:rPr>
          <w:b/>
        </w:rPr>
        <w:t>:</w:t>
      </w:r>
    </w:p>
    <w:p w:rsidR="00C73468" w:rsidRPr="001E6339" w:rsidRDefault="00C73468" w:rsidP="00A27C6F">
      <w:pPr>
        <w:pStyle w:val="Zkladntextodsazen"/>
        <w:keepNext/>
        <w:spacing w:before="360" w:after="240"/>
        <w:ind w:firstLine="0"/>
        <w:jc w:val="center"/>
        <w:outlineLvl w:val="0"/>
        <w:rPr>
          <w:b/>
          <w:sz w:val="22"/>
        </w:rPr>
      </w:pPr>
      <w:r w:rsidRPr="001E6339">
        <w:rPr>
          <w:b/>
          <w:sz w:val="22"/>
        </w:rPr>
        <w:t>I</w:t>
      </w:r>
      <w:r w:rsidR="00F42D8A" w:rsidRPr="001E6339">
        <w:rPr>
          <w:b/>
          <w:sz w:val="22"/>
        </w:rPr>
        <w:t>.</w:t>
      </w:r>
    </w:p>
    <w:p w:rsidR="00044DDA" w:rsidRPr="001E6339" w:rsidRDefault="00C73468" w:rsidP="00A27C6F">
      <w:pPr>
        <w:spacing w:after="120"/>
        <w:ind w:firstLine="709"/>
        <w:jc w:val="both"/>
      </w:pPr>
      <w:r w:rsidRPr="001E6339">
        <w:rPr>
          <w:rFonts w:cs="Arial"/>
        </w:rPr>
        <w:t>Podle § 51 odst. 5 písm. f)</w:t>
      </w:r>
      <w:r w:rsidR="0024138D" w:rsidRPr="001E6339">
        <w:rPr>
          <w:rFonts w:cs="Arial"/>
        </w:rPr>
        <w:t>, § 51 odst. 8</w:t>
      </w:r>
      <w:r w:rsidR="00B53333" w:rsidRPr="001E6339">
        <w:rPr>
          <w:rFonts w:cs="Arial"/>
        </w:rPr>
        <w:t>, § 58 odst. 1</w:t>
      </w:r>
      <w:r w:rsidRPr="001E6339">
        <w:rPr>
          <w:rFonts w:cs="Arial"/>
        </w:rPr>
        <w:t xml:space="preserve"> a § 59 Zákona a podle výsledků analýzy relevantního trhu „</w:t>
      </w:r>
      <w:r w:rsidR="006246A7" w:rsidRPr="001E6339">
        <w:rPr>
          <w:rFonts w:cs="Arial"/>
        </w:rPr>
        <w:t>Velkoobchodní služby s místním přístupem poskytovaným v</w:t>
      </w:r>
      <w:r w:rsidR="00EC6D94" w:rsidRPr="001E6339">
        <w:rPr>
          <w:rFonts w:cs="Arial"/>
        </w:rPr>
        <w:t> </w:t>
      </w:r>
      <w:r w:rsidR="006246A7" w:rsidRPr="001E6339">
        <w:rPr>
          <w:rFonts w:cs="Arial"/>
        </w:rPr>
        <w:t>pevném místě</w:t>
      </w:r>
      <w:r w:rsidR="00AB4AF4" w:rsidRPr="001E6339">
        <w:rPr>
          <w:rFonts w:cs="Arial"/>
        </w:rPr>
        <w:t>“</w:t>
      </w:r>
      <w:r w:rsidRPr="001E6339">
        <w:rPr>
          <w:rFonts w:cs="Arial"/>
        </w:rPr>
        <w:t xml:space="preserve"> vydané opatřením obecné povahy Českého telekomunikačního úřadu č</w:t>
      </w:r>
      <w:r w:rsidR="0024138D" w:rsidRPr="001E6339">
        <w:rPr>
          <w:rFonts w:cs="Arial"/>
        </w:rPr>
        <w:t>.</w:t>
      </w:r>
      <w:r w:rsidR="00EC6D94" w:rsidRPr="001E6339">
        <w:rPr>
          <w:rFonts w:cs="Arial"/>
        </w:rPr>
        <w:t> </w:t>
      </w:r>
      <w:r w:rsidR="00523750" w:rsidRPr="001E6339">
        <w:rPr>
          <w:rFonts w:cs="Arial"/>
        </w:rPr>
        <w:t>A/</w:t>
      </w:r>
      <w:r w:rsidR="006246A7" w:rsidRPr="001E6339">
        <w:rPr>
          <w:rFonts w:cs="Arial"/>
        </w:rPr>
        <w:t>3</w:t>
      </w:r>
      <w:r w:rsidR="006F4F78" w:rsidRPr="001E6339">
        <w:rPr>
          <w:rFonts w:cs="Arial"/>
        </w:rPr>
        <w:t>a</w:t>
      </w:r>
      <w:r w:rsidR="005C5882" w:rsidRPr="001E6339">
        <w:rPr>
          <w:rFonts w:cs="Arial"/>
        </w:rPr>
        <w:t>/</w:t>
      </w:r>
      <w:r w:rsidR="006F4F78" w:rsidRPr="001E6339">
        <w:rPr>
          <w:rFonts w:cs="Arial"/>
        </w:rPr>
        <w:t>07</w:t>
      </w:r>
      <w:r w:rsidR="00523750" w:rsidRPr="001E6339">
        <w:rPr>
          <w:rFonts w:cs="Arial"/>
        </w:rPr>
        <w:t>.</w:t>
      </w:r>
      <w:r w:rsidR="006F4F78" w:rsidRPr="001E6339">
        <w:rPr>
          <w:rFonts w:cs="Arial"/>
        </w:rPr>
        <w:t>2017</w:t>
      </w:r>
      <w:r w:rsidR="00523750" w:rsidRPr="001E6339">
        <w:rPr>
          <w:rFonts w:cs="Arial"/>
        </w:rPr>
        <w:t>-</w:t>
      </w:r>
      <w:r w:rsidR="00974C73" w:rsidRPr="001E6339">
        <w:rPr>
          <w:rFonts w:cs="Arial"/>
        </w:rPr>
        <w:t>3</w:t>
      </w:r>
      <w:r w:rsidR="00BC31AE" w:rsidRPr="001E6339">
        <w:rPr>
          <w:rFonts w:cs="Arial"/>
        </w:rPr>
        <w:t xml:space="preserve"> </w:t>
      </w:r>
      <w:r w:rsidRPr="001E6339">
        <w:rPr>
          <w:rFonts w:cs="Arial"/>
        </w:rPr>
        <w:t xml:space="preserve">se účastníku řízení ukládá povinnost sjednávat ceny </w:t>
      </w:r>
      <w:r w:rsidR="002F4A1D" w:rsidRPr="001E6339">
        <w:rPr>
          <w:rFonts w:cs="Arial"/>
        </w:rPr>
        <w:t>služeb kolokace a</w:t>
      </w:r>
      <w:r w:rsidR="00EC6D94" w:rsidRPr="001E6339">
        <w:rPr>
          <w:rFonts w:cs="Arial"/>
        </w:rPr>
        <w:t> </w:t>
      </w:r>
      <w:r w:rsidR="002F4A1D" w:rsidRPr="001E6339">
        <w:rPr>
          <w:rFonts w:cs="Arial"/>
        </w:rPr>
        <w:t>přístupu k nenasvícenému vláknu</w:t>
      </w:r>
      <w:r w:rsidR="000E6353" w:rsidRPr="001E6339">
        <w:rPr>
          <w:rFonts w:cs="Arial"/>
        </w:rPr>
        <w:t xml:space="preserve"> </w:t>
      </w:r>
      <w:r w:rsidRPr="001E6339">
        <w:t>tak, aby</w:t>
      </w:r>
      <w:r w:rsidR="004F4ECB" w:rsidRPr="001E6339">
        <w:t xml:space="preserve"> </w:t>
      </w:r>
    </w:p>
    <w:p w:rsidR="00117E9D" w:rsidRPr="001E6339" w:rsidRDefault="00117E9D" w:rsidP="00802A35">
      <w:pPr>
        <w:pStyle w:val="Odstavecseseznamem"/>
        <w:numPr>
          <w:ilvl w:val="0"/>
          <w:numId w:val="37"/>
        </w:numPr>
        <w:spacing w:after="120"/>
        <w:ind w:left="1066" w:hanging="357"/>
        <w:contextualSpacing w:val="0"/>
        <w:jc w:val="both"/>
      </w:pPr>
      <w:r w:rsidRPr="001E6339">
        <w:t>nebyly překročeny tyto maximální ceny:</w:t>
      </w:r>
    </w:p>
    <w:p w:rsidR="00045F29" w:rsidRPr="001E6339" w:rsidRDefault="00992586" w:rsidP="00802A35">
      <w:pPr>
        <w:pStyle w:val="Odstavecseseznamem"/>
        <w:numPr>
          <w:ilvl w:val="0"/>
          <w:numId w:val="38"/>
        </w:numPr>
        <w:spacing w:after="120"/>
        <w:ind w:left="1066" w:hanging="357"/>
        <w:contextualSpacing w:val="0"/>
        <w:jc w:val="both"/>
      </w:pPr>
      <w:r w:rsidRPr="001E6339">
        <w:t>ceny za poskytnutí služeb kolokace uplatňované jednorázově:</w:t>
      </w: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4817"/>
        <w:gridCol w:w="3401"/>
      </w:tblGrid>
      <w:tr w:rsidR="00992586" w:rsidRPr="001E6339" w:rsidTr="00992586">
        <w:trPr>
          <w:trHeight w:hRule="exact" w:val="8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6" w:rsidRPr="001E6339" w:rsidRDefault="00992586">
            <w:pPr>
              <w:ind w:left="57" w:right="5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ind w:left="57" w:right="57"/>
              <w:jc w:val="both"/>
            </w:pPr>
            <w:r w:rsidRPr="001E6339">
              <w:rPr>
                <w:snapToGrid w:val="0"/>
              </w:rPr>
              <w:t>Název služby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ind w:left="57" w:right="57"/>
              <w:jc w:val="center"/>
              <w:rPr>
                <w:snapToGrid w:val="0"/>
              </w:rPr>
            </w:pPr>
            <w:r w:rsidRPr="001E6339">
              <w:rPr>
                <w:snapToGrid w:val="0"/>
              </w:rPr>
              <w:t>Maximální cena v Kč bez daně z přidané hodnoty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Předběžné místní šetření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1 zpráva předběžného místního šetření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1 </w:t>
            </w:r>
            <w:r w:rsidR="004B0FF3" w:rsidRPr="001E6339">
              <w:rPr>
                <w:i/>
                <w:snapToGrid w:val="0"/>
              </w:rPr>
              <w:t>868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  <w:r w:rsidRPr="001E6339"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Podrobné místní šetření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– 1 zpráva podrobného místního šetření pro kolokační místnost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12 4</w:t>
            </w:r>
            <w:r w:rsidR="004B0FF3" w:rsidRPr="001E6339">
              <w:rPr>
                <w:i/>
                <w:snapToGrid w:val="0"/>
              </w:rPr>
              <w:t>04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tabs>
                <w:tab w:val="center" w:pos="567"/>
              </w:tabs>
              <w:ind w:right="-30"/>
            </w:pPr>
            <w:r w:rsidRPr="001E6339">
              <w:t xml:space="preserve">  </w:t>
            </w:r>
            <w:bookmarkStart w:id="0" w:name="_GoBack"/>
            <w:r w:rsidRPr="001E6339">
              <w:t xml:space="preserve">  </w:t>
            </w:r>
            <w:bookmarkEnd w:id="0"/>
            <w:r w:rsidRPr="001E6339">
              <w:t xml:space="preserve"> 3.2  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Podrobné místní šetření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další zpráva podrobného místního šetření pro kolokační místnost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8 </w:t>
            </w:r>
            <w:r w:rsidR="004B0FF3" w:rsidRPr="001E6339">
              <w:rPr>
                <w:i/>
                <w:snapToGrid w:val="0"/>
              </w:rPr>
              <w:t>624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Poskytnutí kolokačního prostoru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skříň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35 0</w:t>
            </w:r>
            <w:r w:rsidR="004B0FF3" w:rsidRPr="001E6339">
              <w:rPr>
                <w:i/>
                <w:snapToGrid w:val="0"/>
              </w:rPr>
              <w:t>50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Poskytnutí nebo rozšíření technologického napájení 48V nebo 230V (nezálohované)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2 </w:t>
            </w:r>
            <w:r w:rsidR="004B0FF3" w:rsidRPr="001E6339">
              <w:rPr>
                <w:i/>
                <w:snapToGrid w:val="0"/>
              </w:rPr>
              <w:t>865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Stíněný vnitřní spojovací kabel a pásek na hlavním rozvodu přidělený Poskytovateli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spojovací kabely v kapacitě 96 párů – poskytnutí nebo rozšíření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1 </w:t>
            </w:r>
            <w:r w:rsidR="004B0FF3" w:rsidRPr="001E6339">
              <w:rPr>
                <w:i/>
                <w:snapToGrid w:val="0"/>
              </w:rPr>
              <w:t>849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Nestíněný vnitřní spojovací kabel a pásek na hlavním rozvodu přidělený Poskytovateli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lastRenderedPageBreak/>
              <w:t>– spojovací kabely v kapacitě 96 párů – poskytnutí nebo rozšíření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lastRenderedPageBreak/>
              <w:t xml:space="preserve"> 1 </w:t>
            </w:r>
            <w:r w:rsidR="004B0FF3" w:rsidRPr="001E6339">
              <w:rPr>
                <w:i/>
                <w:snapToGrid w:val="0"/>
              </w:rPr>
              <w:t>849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Stíněný vnitřní spojovací kabel, metalický 2Mbit/s, včetně digitálního rozvaděče – pár – poskytnutí nebo rozšíření/Kabel sběrného okruhu metalický – včetně pásku na předávacím rozvodu – pár – poskytnutí nebo rozšíření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</w:t>
            </w:r>
            <w:r w:rsidR="004B0FF3" w:rsidRPr="001E6339">
              <w:rPr>
                <w:i/>
                <w:snapToGrid w:val="0"/>
              </w:rPr>
              <w:t>5</w:t>
            </w:r>
            <w:r w:rsidRPr="001E6339">
              <w:rPr>
                <w:i/>
                <w:snapToGrid w:val="0"/>
              </w:rPr>
              <w:t xml:space="preserve"> </w:t>
            </w:r>
            <w:r w:rsidR="004B0FF3" w:rsidRPr="001E6339">
              <w:rPr>
                <w:i/>
                <w:snapToGrid w:val="0"/>
              </w:rPr>
              <w:t>110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Optický vnitřní spojovací kabel včetně optického rozvaděče – pár vláken – poskytnutí nebo rozšíření/Kabel sběrného okruhu – optický, včetně optického rozvaděče – pár – poskytnutí nebo rozšíření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5 </w:t>
            </w:r>
            <w:r w:rsidR="004B0FF3" w:rsidRPr="001E6339">
              <w:rPr>
                <w:i/>
                <w:snapToGrid w:val="0"/>
              </w:rPr>
              <w:t>2</w:t>
            </w:r>
            <w:r w:rsidRPr="001E6339">
              <w:rPr>
                <w:i/>
                <w:snapToGrid w:val="0"/>
              </w:rPr>
              <w:t>03,-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Zdroj nepřetržitého napájení (UPS)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jednotka UPS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4 </w:t>
            </w:r>
            <w:r w:rsidR="004B0FF3" w:rsidRPr="001E6339">
              <w:rPr>
                <w:i/>
                <w:snapToGrid w:val="0"/>
              </w:rPr>
              <w:t>1</w:t>
            </w:r>
            <w:r w:rsidRPr="001E6339">
              <w:rPr>
                <w:i/>
                <w:snapToGrid w:val="0"/>
              </w:rPr>
              <w:t>0</w:t>
            </w:r>
            <w:r w:rsidR="004B0FF3" w:rsidRPr="001E6339">
              <w:rPr>
                <w:i/>
                <w:snapToGrid w:val="0"/>
              </w:rPr>
              <w:t>1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Vnější spojovací kabel – metalický – pro vnitřní nebo vnější prostředí, včetně pásku na hlavním rozvodu i pásku na předávacím rozvodu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spojovací kabely v kapacitě 96 párů – poskytnutí nebo rozšíření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2 </w:t>
            </w:r>
            <w:r w:rsidR="004B0FF3" w:rsidRPr="001E6339">
              <w:rPr>
                <w:i/>
                <w:snapToGrid w:val="0"/>
              </w:rPr>
              <w:t>24</w:t>
            </w:r>
            <w:r w:rsidRPr="001E6339">
              <w:rPr>
                <w:i/>
                <w:snapToGrid w:val="0"/>
              </w:rPr>
              <w:t>3,-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Vnější spojovací kabel stíněný – metalický – pro vnitřní nebo vnější prostředí, včetně pásku na hlavním rozvodu i pásku na předávacím rozvodu – spojovací kabely v kapacitě 96 párů – poskytnutí nebo rozšíření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2 </w:t>
            </w:r>
            <w:r w:rsidR="004B0FF3" w:rsidRPr="001E6339">
              <w:rPr>
                <w:i/>
                <w:snapToGrid w:val="0"/>
              </w:rPr>
              <w:t>24</w:t>
            </w:r>
            <w:r w:rsidRPr="001E6339">
              <w:rPr>
                <w:i/>
                <w:snapToGrid w:val="0"/>
              </w:rPr>
              <w:t>3,-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Výdej čipové karty a realizace požadavku na jeden přístup do kolokačního prostoru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za jednoho zaměstnance Nájemce a kolokační</w:t>
            </w:r>
            <w:r w:rsidR="00BD1769" w:rsidRPr="001E6339">
              <w:rPr>
                <w:snapToGrid w:val="0"/>
              </w:rPr>
              <w:t xml:space="preserve"> prostor</w:t>
            </w:r>
            <w:r w:rsidRPr="001E6339">
              <w:rPr>
                <w:snapToGrid w:val="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1 0</w:t>
            </w:r>
            <w:r w:rsidR="004B0FF3" w:rsidRPr="001E6339">
              <w:rPr>
                <w:i/>
                <w:snapToGrid w:val="0"/>
              </w:rPr>
              <w:t>35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Realizace požadavku na jeden další přístup do kolokačního prostoru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– za jednoho zaměstnance Nájemce a kolokační </w:t>
            </w:r>
            <w:r w:rsidR="00BD1769" w:rsidRPr="001E6339">
              <w:rPr>
                <w:snapToGrid w:val="0"/>
              </w:rPr>
              <w:t>prostor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6</w:t>
            </w:r>
            <w:r w:rsidR="004B0FF3" w:rsidRPr="001E6339">
              <w:rPr>
                <w:i/>
                <w:snapToGrid w:val="0"/>
              </w:rPr>
              <w:t>02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Vstup s doprovodem – paušální poplatek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jedna návštěva libovolného počtu pracovníků Nájemce v jednom kolokačním prostoru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1 9</w:t>
            </w:r>
            <w:r w:rsidR="004B0FF3" w:rsidRPr="001E6339">
              <w:rPr>
                <w:i/>
                <w:snapToGrid w:val="0"/>
              </w:rPr>
              <w:t>20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Vstup s doprovodem – využití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– jedna započatá hodina </w:t>
            </w:r>
            <w:r w:rsidR="00C008D0" w:rsidRPr="001E6339">
              <w:rPr>
                <w:snapToGrid w:val="0"/>
              </w:rPr>
              <w:t xml:space="preserve">návštěvy </w:t>
            </w:r>
            <w:r w:rsidRPr="001E6339">
              <w:rPr>
                <w:snapToGrid w:val="0"/>
              </w:rPr>
              <w:t>libovolného počtu pracovníků Nájemce</w:t>
            </w:r>
            <w:r w:rsidR="00660CB9" w:rsidRPr="001E6339">
              <w:rPr>
                <w:snapToGrid w:val="0"/>
              </w:rPr>
              <w:t xml:space="preserve"> v jednom kolokačním prostoru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62</w:t>
            </w:r>
            <w:r w:rsidR="004B0FF3" w:rsidRPr="001E6339">
              <w:rPr>
                <w:i/>
                <w:snapToGrid w:val="0"/>
              </w:rPr>
              <w:t>1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Deinstalace zařízení technologického napájení 48V nebo 230V (nezálohované)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1 </w:t>
            </w:r>
            <w:r w:rsidR="004B0FF3" w:rsidRPr="001E6339">
              <w:rPr>
                <w:i/>
                <w:snapToGrid w:val="0"/>
              </w:rPr>
              <w:t>8</w:t>
            </w:r>
            <w:r w:rsidRPr="001E6339">
              <w:rPr>
                <w:i/>
                <w:snapToGrid w:val="0"/>
              </w:rPr>
              <w:t>34,-</w:t>
            </w:r>
          </w:p>
        </w:tc>
      </w:tr>
      <w:tr w:rsidR="00992586" w:rsidRPr="001E6339" w:rsidTr="00992586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Deinstalace nestíněného vnitřního spojovacího kabelu a pásku na HR přiděleného Poskytovateli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1 </w:t>
            </w:r>
            <w:r w:rsidR="004B0FF3" w:rsidRPr="001E6339">
              <w:rPr>
                <w:i/>
                <w:snapToGrid w:val="0"/>
              </w:rPr>
              <w:t>8</w:t>
            </w:r>
            <w:r w:rsidRPr="001E6339">
              <w:rPr>
                <w:i/>
                <w:snapToGrid w:val="0"/>
              </w:rPr>
              <w:t>34,-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Deinstalace stíněného vnitřního spojovacího kabelu a pásku na HR přiděleného Poskytovateli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1 </w:t>
            </w:r>
            <w:r w:rsidR="004B0FF3" w:rsidRPr="001E6339">
              <w:rPr>
                <w:i/>
                <w:snapToGrid w:val="0"/>
              </w:rPr>
              <w:t>8</w:t>
            </w:r>
            <w:r w:rsidRPr="001E6339">
              <w:rPr>
                <w:i/>
                <w:snapToGrid w:val="0"/>
              </w:rPr>
              <w:t>34,-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Deinstalace stíněného vnitřního spojovacího kabelu, metalický 2 Mbit/s, včetně digitálního rozvaděče/Kabelu sběrného okruhu – metalický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293211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4</w:t>
            </w:r>
            <w:r w:rsidR="00992586" w:rsidRPr="001E6339">
              <w:rPr>
                <w:i/>
                <w:snapToGrid w:val="0"/>
              </w:rPr>
              <w:t xml:space="preserve"> </w:t>
            </w:r>
            <w:r w:rsidRPr="001E6339">
              <w:rPr>
                <w:i/>
                <w:snapToGrid w:val="0"/>
              </w:rPr>
              <w:t>085</w:t>
            </w:r>
            <w:r w:rsidR="00992586"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Deinstalace optického vnitřního spojovacího kabelu včetně optického rozvaděče/Kabelu sběrného okruhu – optický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293211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4</w:t>
            </w:r>
            <w:r w:rsidR="00992586" w:rsidRPr="001E6339">
              <w:rPr>
                <w:i/>
                <w:snapToGrid w:val="0"/>
              </w:rPr>
              <w:t xml:space="preserve"> </w:t>
            </w:r>
            <w:r w:rsidRPr="001E6339">
              <w:rPr>
                <w:i/>
                <w:snapToGrid w:val="0"/>
              </w:rPr>
              <w:t>085</w:t>
            </w:r>
            <w:r w:rsidR="00992586"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Deinstalace vnějšího spojovacího kabelu – metalický – pro vnitřní a vnější prostředí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1 </w:t>
            </w:r>
            <w:r w:rsidR="00293211" w:rsidRPr="001E6339">
              <w:rPr>
                <w:i/>
                <w:snapToGrid w:val="0"/>
              </w:rPr>
              <w:t>8</w:t>
            </w:r>
            <w:r w:rsidRPr="001E6339">
              <w:rPr>
                <w:i/>
                <w:snapToGrid w:val="0"/>
              </w:rPr>
              <w:t>34,-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Deinstalace vnějšího spojovacího kabelu stíněného – metalický – pro vnitřní a vnější prostředí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1 </w:t>
            </w:r>
            <w:r w:rsidR="00293211" w:rsidRPr="001E6339">
              <w:rPr>
                <w:i/>
                <w:snapToGrid w:val="0"/>
              </w:rPr>
              <w:t>8</w:t>
            </w:r>
            <w:r w:rsidRPr="001E6339">
              <w:rPr>
                <w:i/>
                <w:snapToGrid w:val="0"/>
              </w:rPr>
              <w:t>34,-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Deinstalace zdroje nepřetržitého napájení (UPS)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293211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4 085</w:t>
            </w:r>
            <w:r w:rsidR="00992586"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Uvedení kolokačního prostoru do původního stavu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7 </w:t>
            </w:r>
            <w:r w:rsidR="00293211" w:rsidRPr="001E6339">
              <w:rPr>
                <w:i/>
                <w:snapToGrid w:val="0"/>
              </w:rPr>
              <w:t>818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39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Práce na projekčním průzkumu a schvalování projektové dokumentace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– jeden projekt Nájemce, ke kterému je vydáno stanovisko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>14 </w:t>
            </w:r>
            <w:r w:rsidR="00064173" w:rsidRPr="001E6339">
              <w:rPr>
                <w:i/>
                <w:snapToGrid w:val="0"/>
              </w:rPr>
              <w:t>1</w:t>
            </w:r>
            <w:r w:rsidR="00293211" w:rsidRPr="001E6339">
              <w:rPr>
                <w:i/>
                <w:snapToGrid w:val="0"/>
              </w:rPr>
              <w:t>4</w:t>
            </w:r>
            <w:r w:rsidR="00064173" w:rsidRPr="001E6339">
              <w:rPr>
                <w:i/>
                <w:snapToGrid w:val="0"/>
              </w:rPr>
              <w:t>0</w:t>
            </w:r>
            <w:r w:rsidRPr="001E6339">
              <w:rPr>
                <w:i/>
                <w:snapToGrid w:val="0"/>
              </w:rPr>
              <w:t>,-</w:t>
            </w:r>
          </w:p>
        </w:tc>
      </w:tr>
    </w:tbl>
    <w:p w:rsidR="00992586" w:rsidRPr="001E6339" w:rsidRDefault="00992586" w:rsidP="00802A35">
      <w:pPr>
        <w:pStyle w:val="Odstavecseseznamem"/>
        <w:numPr>
          <w:ilvl w:val="0"/>
          <w:numId w:val="38"/>
        </w:numPr>
        <w:spacing w:before="240" w:after="120"/>
        <w:ind w:left="1066" w:hanging="357"/>
        <w:contextualSpacing w:val="0"/>
        <w:jc w:val="both"/>
      </w:pPr>
      <w:r w:rsidRPr="001E6339">
        <w:t>ceny za poskytnutí služeb kolokace uplatňované měsíčně:</w:t>
      </w: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1"/>
        <w:gridCol w:w="4818"/>
        <w:gridCol w:w="3401"/>
      </w:tblGrid>
      <w:tr w:rsidR="00992586" w:rsidRPr="001E6339" w:rsidTr="00992586">
        <w:trPr>
          <w:trHeight w:hRule="exact"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6" w:rsidRPr="001E6339" w:rsidRDefault="00992586">
            <w:pPr>
              <w:ind w:left="57" w:right="57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ind w:left="57" w:right="57"/>
              <w:jc w:val="both"/>
            </w:pPr>
            <w:r w:rsidRPr="001E6339">
              <w:rPr>
                <w:snapToGrid w:val="0"/>
              </w:rPr>
              <w:t>Název služby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ind w:left="57" w:right="57"/>
              <w:jc w:val="center"/>
              <w:rPr>
                <w:snapToGrid w:val="0"/>
              </w:rPr>
            </w:pPr>
            <w:r w:rsidRPr="001E6339">
              <w:rPr>
                <w:snapToGrid w:val="0"/>
              </w:rPr>
              <w:t>Maximální cena v Kč bez daně z přidané hodnoty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Stíněný vnitřní spojovací kabel a pásek na hlavním rozvodu přidělený Poskytovateli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spojovací kabely v kapacitě 96 párů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</w:t>
            </w:r>
            <w:r w:rsidR="00293211" w:rsidRPr="001E6339">
              <w:rPr>
                <w:i/>
                <w:snapToGrid w:val="0"/>
              </w:rPr>
              <w:t>59</w:t>
            </w:r>
            <w:r w:rsidRPr="001E6339">
              <w:rPr>
                <w:i/>
                <w:snapToGrid w:val="0"/>
              </w:rPr>
              <w:t>7,-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Nestíněný vnitřní spojovací kabel a pásek na hlavním rozvodu přidělený Poskytovateli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spojovací kabely v kapacitě 96 párů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44</w:t>
            </w:r>
            <w:r w:rsidR="00293211" w:rsidRPr="001E6339">
              <w:rPr>
                <w:i/>
                <w:snapToGrid w:val="0"/>
              </w:rPr>
              <w:t>9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Stíněný vnitřní spojovací kabel, metalický 2 Mbit/s, včetně digitálního rozvaděče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pár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2</w:t>
            </w:r>
            <w:r w:rsidR="00293211" w:rsidRPr="001E6339">
              <w:rPr>
                <w:i/>
                <w:snapToGrid w:val="0"/>
              </w:rPr>
              <w:t>7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spacing w:before="120"/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Optický vnitřní spojovací kabel včetně optického rozvaděče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pár vláken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spacing w:before="120"/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56,-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Spotřeba energie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kW příkonu instalovaného zařízení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2 </w:t>
            </w:r>
            <w:r w:rsidR="00293211" w:rsidRPr="001E6339">
              <w:rPr>
                <w:i/>
                <w:snapToGrid w:val="0"/>
              </w:rPr>
              <w:t>4</w:t>
            </w:r>
            <w:r w:rsidRPr="001E6339">
              <w:rPr>
                <w:i/>
                <w:snapToGrid w:val="0"/>
              </w:rPr>
              <w:t>14,-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Poskytování napájení 48V nebo 230V – skříň (nezálohované)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1</w:t>
            </w:r>
            <w:r w:rsidR="00293211" w:rsidRPr="001E6339">
              <w:rPr>
                <w:i/>
                <w:snapToGrid w:val="0"/>
              </w:rPr>
              <w:t>7</w:t>
            </w:r>
            <w:r w:rsidRPr="001E6339">
              <w:rPr>
                <w:i/>
                <w:snapToGrid w:val="0"/>
              </w:rPr>
              <w:t xml:space="preserve">8,- 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Pronájem kolokačního prostoru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umístění jedné skříně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5 </w:t>
            </w:r>
            <w:r w:rsidR="00293211" w:rsidRPr="001E6339">
              <w:rPr>
                <w:i/>
                <w:snapToGrid w:val="0"/>
              </w:rPr>
              <w:t>035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Zdroj nepřetržitého napájení (UPS)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jednotka UPS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54</w:t>
            </w:r>
            <w:r w:rsidR="00293211" w:rsidRPr="001E6339">
              <w:rPr>
                <w:i/>
                <w:snapToGrid w:val="0"/>
              </w:rPr>
              <w:t>7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Kabel sběrného okruhu – optický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pár vláken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4</w:t>
            </w:r>
            <w:r w:rsidR="00293211" w:rsidRPr="001E6339">
              <w:rPr>
                <w:i/>
                <w:snapToGrid w:val="0"/>
              </w:rPr>
              <w:t>7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Pásek na hlavním rozvodu pro službu jiné technické řešení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2</w:t>
            </w:r>
            <w:r w:rsidR="00293211" w:rsidRPr="001E6339">
              <w:rPr>
                <w:i/>
                <w:snapToGrid w:val="0"/>
              </w:rPr>
              <w:t>79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Kabel sběrného okruhu – metalický – pár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2</w:t>
            </w:r>
            <w:r w:rsidR="00293211" w:rsidRPr="001E6339">
              <w:rPr>
                <w:i/>
                <w:snapToGrid w:val="0"/>
              </w:rPr>
              <w:t>7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Vnější spojovací kabel – metalický – pro vnitřní nebo vnější prostředí – spojovací kabely v kapacitě 96 párů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5</w:t>
            </w:r>
            <w:r w:rsidR="00293211" w:rsidRPr="001E6339">
              <w:rPr>
                <w:i/>
                <w:snapToGrid w:val="0"/>
              </w:rPr>
              <w:t>14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Vnější spojovací kabel stíněný – metalický – pro vnitřní nebo vnější prostředí – spojovací kabely v kapacitě 96 párů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6</w:t>
            </w:r>
            <w:r w:rsidR="00293211" w:rsidRPr="001E6339">
              <w:rPr>
                <w:i/>
                <w:snapToGrid w:val="0"/>
              </w:rPr>
              <w:t>55</w:t>
            </w:r>
            <w:r w:rsidRPr="001E6339">
              <w:rPr>
                <w:i/>
                <w:snapToGrid w:val="0"/>
              </w:rPr>
              <w:t xml:space="preserve">,- 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Nájem prostoru pro umístění roštu Nájemce v budově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běžný metr kabelového roštu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</w:t>
            </w:r>
            <w:r w:rsidR="00293211" w:rsidRPr="001E6339">
              <w:rPr>
                <w:i/>
                <w:snapToGrid w:val="0"/>
              </w:rPr>
              <w:t>62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Nájem prostoru pro umístění lišty Nájemce v budově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běžný metr lišty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</w:t>
            </w:r>
            <w:r w:rsidR="00293211" w:rsidRPr="001E6339">
              <w:rPr>
                <w:i/>
                <w:snapToGrid w:val="0"/>
              </w:rPr>
              <w:t>33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Nájem prostoru v kabelovém roštu nebo liště účastníka řízení v budově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běžný metr pokládky jednoho kabelu v kabelovém roštu nebo liště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</w:t>
            </w:r>
            <w:r w:rsidR="00293211" w:rsidRPr="001E6339">
              <w:rPr>
                <w:i/>
                <w:snapToGrid w:val="0"/>
              </w:rPr>
              <w:t>7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  <w:vertAlign w:val="superscript"/>
              </w:rPr>
            </w:pPr>
            <w:r w:rsidRPr="001E6339">
              <w:rPr>
                <w:snapToGrid w:val="0"/>
              </w:rPr>
              <w:t xml:space="preserve">Nájem prostoru pro umístění antény na střeše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1 9</w:t>
            </w:r>
            <w:r w:rsidR="00293211" w:rsidRPr="001E6339">
              <w:rPr>
                <w:i/>
                <w:snapToGrid w:val="0"/>
              </w:rPr>
              <w:t>27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Nájem prostupu do budovy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běžný metr pokládky jednoho kabelu v kabelovém roštu nebo liště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</w:t>
            </w:r>
            <w:r w:rsidR="00293211" w:rsidRPr="001E6339">
              <w:rPr>
                <w:i/>
                <w:snapToGrid w:val="0"/>
              </w:rPr>
              <w:t>7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Nájem prostoru pro vybudování prostupu do budovy z pozemku účastníka řízení mimo budovu do kabelovny v budově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běžný metr kabelové trasy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</w:t>
            </w:r>
            <w:r w:rsidR="00293211" w:rsidRPr="001E6339">
              <w:rPr>
                <w:i/>
                <w:snapToGrid w:val="0"/>
              </w:rPr>
              <w:t>62</w:t>
            </w:r>
            <w:r w:rsidRPr="001E6339">
              <w:rPr>
                <w:i/>
                <w:snapToGrid w:val="0"/>
              </w:rPr>
              <w:t>,-</w:t>
            </w:r>
          </w:p>
        </w:tc>
      </w:tr>
      <w:tr w:rsidR="00992586" w:rsidRPr="001E6339" w:rsidTr="00992586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6" w:rsidRPr="001E6339" w:rsidRDefault="00992586" w:rsidP="00992586">
            <w:pPr>
              <w:numPr>
                <w:ilvl w:val="0"/>
                <w:numId w:val="40"/>
              </w:numPr>
              <w:tabs>
                <w:tab w:val="center" w:pos="567"/>
              </w:tabs>
              <w:ind w:right="-3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 xml:space="preserve">Nájem prostoru pro umístění kabelu nájemce na pozemku, v kabelovodu nebo kolektoru účastníka řízení mimo budovu </w:t>
            </w:r>
          </w:p>
          <w:p w:rsidR="00992586" w:rsidRPr="001E6339" w:rsidRDefault="00992586">
            <w:pPr>
              <w:ind w:left="57" w:right="57"/>
              <w:jc w:val="both"/>
              <w:rPr>
                <w:snapToGrid w:val="0"/>
              </w:rPr>
            </w:pPr>
            <w:r w:rsidRPr="001E6339">
              <w:rPr>
                <w:snapToGrid w:val="0"/>
              </w:rPr>
              <w:t>– běžný metr kabelové trasy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86" w:rsidRPr="001E6339" w:rsidRDefault="00992586">
            <w:pPr>
              <w:jc w:val="center"/>
              <w:rPr>
                <w:i/>
                <w:snapToGrid w:val="0"/>
              </w:rPr>
            </w:pPr>
            <w:r w:rsidRPr="001E6339">
              <w:rPr>
                <w:i/>
                <w:snapToGrid w:val="0"/>
              </w:rPr>
              <w:t xml:space="preserve"> </w:t>
            </w:r>
            <w:r w:rsidR="00293211" w:rsidRPr="001E6339">
              <w:rPr>
                <w:i/>
                <w:snapToGrid w:val="0"/>
              </w:rPr>
              <w:t>7</w:t>
            </w:r>
            <w:r w:rsidRPr="001E6339">
              <w:rPr>
                <w:i/>
                <w:snapToGrid w:val="0"/>
              </w:rPr>
              <w:t>,-</w:t>
            </w:r>
          </w:p>
        </w:tc>
      </w:tr>
    </w:tbl>
    <w:p w:rsidR="009D39C4" w:rsidRPr="008617A4" w:rsidRDefault="00992586" w:rsidP="006B65E2">
      <w:pPr>
        <w:spacing w:before="120"/>
        <w:ind w:firstLine="709"/>
        <w:jc w:val="both"/>
        <w:rPr>
          <w:strike/>
        </w:rPr>
      </w:pPr>
      <w:r w:rsidRPr="001E6339">
        <w:t xml:space="preserve"> </w:t>
      </w:r>
      <w:r w:rsidR="004F4ECB" w:rsidRPr="001E6339">
        <w:t xml:space="preserve">(2) </w:t>
      </w:r>
      <w:r w:rsidRPr="00DB0673">
        <w:t>ceny za poskytnutí přístupu k nenasvícenému vláknu byly stanoveny na základě zásady nákladové orientace</w:t>
      </w:r>
      <w:r w:rsidR="00800645" w:rsidRPr="00DB0673">
        <w:t>,</w:t>
      </w:r>
      <w:r w:rsidR="001E62B8" w:rsidRPr="00DB0673">
        <w:t xml:space="preserve"> </w:t>
      </w:r>
      <w:r w:rsidR="00BB4503" w:rsidRPr="00DB0673">
        <w:t>s využitím</w:t>
      </w:r>
      <w:r w:rsidR="00F36AA5" w:rsidRPr="00DB0673">
        <w:t> </w:t>
      </w:r>
      <w:r w:rsidR="00BB4503" w:rsidRPr="00DB0673">
        <w:t>nákladového modelu velkoobchodního (fyzického) přístupu k infrastruktuře sítě</w:t>
      </w:r>
      <w:r w:rsidR="00F36AA5" w:rsidRPr="00DB0673">
        <w:t>, který</w:t>
      </w:r>
      <w:r w:rsidRPr="00DB0673">
        <w:t xml:space="preserve"> </w:t>
      </w:r>
      <w:r w:rsidR="00BB4503" w:rsidRPr="00DB0673">
        <w:t>byl</w:t>
      </w:r>
      <w:r w:rsidR="008A1504" w:rsidRPr="00DB0673">
        <w:t xml:space="preserve"> zveřejněn</w:t>
      </w:r>
      <w:r w:rsidR="001E62B8" w:rsidRPr="00DB0673">
        <w:rPr>
          <w:rStyle w:val="Znakapoznpodarou"/>
        </w:rPr>
        <w:footnoteReference w:id="1"/>
      </w:r>
      <w:r w:rsidR="008A1504" w:rsidRPr="00DB0673">
        <w:t xml:space="preserve"> na webových stránkách Českého telekomunikačního úřadu</w:t>
      </w:r>
      <w:r w:rsidR="00BB4503" w:rsidRPr="00DB0673">
        <w:t xml:space="preserve"> </w:t>
      </w:r>
      <w:r w:rsidR="00C520F6" w:rsidRPr="00DB0673">
        <w:t>pod názvem</w:t>
      </w:r>
      <w:r w:rsidR="00DB0673" w:rsidRPr="00DB0673">
        <w:t xml:space="preserve"> </w:t>
      </w:r>
      <w:hyperlink r:id="rId8" w:tooltip="vosp_02-2013.zip (4 MB)" w:history="1">
        <w:r w:rsidR="00C520F6" w:rsidRPr="00DB0673">
          <w:rPr>
            <w:rStyle w:val="Hypertextovodkaz"/>
            <w:rFonts w:cs="Arial"/>
          </w:rPr>
          <w:t>Nákladový model velkoobchodního (fyzického) přístupu k infrastruktuře sítě (včetně sdíleného ne</w:t>
        </w:r>
        <w:r w:rsidR="00C520F6" w:rsidRPr="00DB0673">
          <w:rPr>
            <w:rStyle w:val="Hypertextovodkaz"/>
            <w:rFonts w:cs="Arial"/>
          </w:rPr>
          <w:t>b</w:t>
        </w:r>
        <w:r w:rsidR="00C520F6" w:rsidRPr="00DB0673">
          <w:rPr>
            <w:rStyle w:val="Hypertextovodkaz"/>
            <w:rFonts w:cs="Arial"/>
          </w:rPr>
          <w:t>o plného zpřístupnění účastnického vedení) v</w:t>
        </w:r>
        <w:r w:rsidR="00AE3E82" w:rsidRPr="00DB0673">
          <w:rPr>
            <w:rStyle w:val="Hypertextovodkaz"/>
            <w:rFonts w:cs="Arial"/>
          </w:rPr>
          <w:t> </w:t>
        </w:r>
        <w:r w:rsidR="00C520F6" w:rsidRPr="00DB0673">
          <w:rPr>
            <w:rStyle w:val="Hypertextovodkaz"/>
            <w:rFonts w:cs="Arial"/>
          </w:rPr>
          <w:t>pevném místě, velkoobchodního širokopásmového přístupu v sítích elektronických komunikací a souvisejícího maloobchodního trhu</w:t>
        </w:r>
      </w:hyperlink>
      <w:r w:rsidR="001E62B8" w:rsidRPr="00DB0673">
        <w:t>,</w:t>
      </w:r>
      <w:r w:rsidR="00C520F6" w:rsidRPr="00DB0673">
        <w:t xml:space="preserve"> a to na základě nákladových vstupů podle poslední ověřené účetní uzávěrky a oddělené evidence nákladů a výnosů.</w:t>
      </w:r>
    </w:p>
    <w:p w:rsidR="000F73F5" w:rsidRPr="001E6339" w:rsidRDefault="00C520F6" w:rsidP="008617A4">
      <w:pPr>
        <w:tabs>
          <w:tab w:val="center" w:pos="4535"/>
          <w:tab w:val="left" w:pos="7327"/>
          <w:tab w:val="right" w:pos="9070"/>
        </w:tabs>
        <w:spacing w:before="360" w:after="240"/>
        <w:rPr>
          <w:b/>
        </w:rPr>
      </w:pPr>
      <w:r>
        <w:rPr>
          <w:b/>
        </w:rPr>
        <w:tab/>
      </w:r>
      <w:r w:rsidR="000F73F5" w:rsidRPr="001E6339">
        <w:rPr>
          <w:b/>
        </w:rPr>
        <w:t>II.</w:t>
      </w:r>
      <w:r>
        <w:rPr>
          <w:b/>
        </w:rPr>
        <w:tab/>
      </w:r>
      <w:r>
        <w:rPr>
          <w:b/>
        </w:rPr>
        <w:tab/>
      </w:r>
    </w:p>
    <w:p w:rsidR="00F36AA5" w:rsidRPr="001E6339" w:rsidRDefault="00F36AA5" w:rsidP="00287DAB">
      <w:pPr>
        <w:pStyle w:val="Odstavecseseznamem"/>
        <w:spacing w:after="120"/>
        <w:ind w:left="142" w:firstLine="567"/>
        <w:contextualSpacing w:val="0"/>
        <w:jc w:val="both"/>
        <w:outlineLvl w:val="0"/>
        <w:rPr>
          <w:rFonts w:cs="Arial"/>
        </w:rPr>
      </w:pPr>
      <w:r w:rsidRPr="001E6339">
        <w:rPr>
          <w:rFonts w:cs="Arial"/>
        </w:rPr>
        <w:t>(1) Pro nově uzavírané smluvní vztahy je po dobu účinnosti bodu (1) části I. výroku tohoto rozhodnutí účastník řízení povinen sjednávat a uplatňovat ceny podle bodu (1) části I. výroku tohoto rozhodnutí od nabytí právní moci tohoto rozhodnutí.</w:t>
      </w:r>
    </w:p>
    <w:p w:rsidR="00F36AA5" w:rsidRPr="001E6339" w:rsidRDefault="00F36AA5" w:rsidP="00287DAB">
      <w:pPr>
        <w:pStyle w:val="Odstavecseseznamem"/>
        <w:spacing w:after="120"/>
        <w:ind w:left="142" w:firstLine="567"/>
        <w:contextualSpacing w:val="0"/>
        <w:jc w:val="both"/>
        <w:outlineLvl w:val="0"/>
        <w:rPr>
          <w:rFonts w:cs="Arial"/>
        </w:rPr>
      </w:pPr>
      <w:r w:rsidRPr="001E6339">
        <w:rPr>
          <w:rFonts w:cs="Arial"/>
        </w:rPr>
        <w:t>(2) Pro stávající smluvní vztahy je po dobu účinnosti bodu (1) části I. výroku tohoto rozhodnutí účastník řízení povinen sjednat a uplatňovat ceny podle bodu (1) části I. výroku tohoto rozhodnutí nejpozději od prvního dne třetího měsíce následujícího po měsíci, ve kterém došlo k nabytí právní moci tohoto rozhodnutí.</w:t>
      </w:r>
    </w:p>
    <w:p w:rsidR="00F36AA5" w:rsidRPr="001E6339" w:rsidRDefault="00F36AA5" w:rsidP="00287DAB">
      <w:pPr>
        <w:pStyle w:val="Odstavecseseznamem"/>
        <w:spacing w:after="120"/>
        <w:ind w:left="142" w:firstLine="567"/>
        <w:contextualSpacing w:val="0"/>
        <w:jc w:val="both"/>
        <w:outlineLvl w:val="0"/>
        <w:rPr>
          <w:rFonts w:cs="Arial"/>
        </w:rPr>
      </w:pPr>
      <w:r w:rsidRPr="001E6339">
        <w:rPr>
          <w:rFonts w:cs="Arial"/>
        </w:rPr>
        <w:t xml:space="preserve">(3) Účastník řízení je povinen </w:t>
      </w:r>
      <w:r w:rsidR="00CC0DCE" w:rsidRPr="001E6339">
        <w:rPr>
          <w:rFonts w:cs="Arial"/>
        </w:rPr>
        <w:t>sjednat</w:t>
      </w:r>
      <w:r w:rsidRPr="001E6339">
        <w:rPr>
          <w:rFonts w:cs="Arial"/>
        </w:rPr>
        <w:t xml:space="preserve"> a uplatňovat ceny podle bodu (2) části I. výroku tohoto rozhodnutí</w:t>
      </w:r>
      <w:r w:rsidR="001B2DD5" w:rsidRPr="001E6339">
        <w:rPr>
          <w:rFonts w:cs="Arial"/>
        </w:rPr>
        <w:t xml:space="preserve"> nejpozději od prvního dne třetího měsíce následujícího po měsíci, ve kterém došlo k nabytí právní moci tohoto rozhodnutí.</w:t>
      </w:r>
    </w:p>
    <w:p w:rsidR="001B2DD5" w:rsidRPr="001E6339" w:rsidRDefault="001B2DD5" w:rsidP="00287DAB">
      <w:pPr>
        <w:pStyle w:val="Odstavecseseznamem"/>
        <w:spacing w:after="120"/>
        <w:ind w:left="142" w:firstLine="567"/>
        <w:contextualSpacing w:val="0"/>
        <w:jc w:val="both"/>
        <w:outlineLvl w:val="0"/>
        <w:rPr>
          <w:rFonts w:cs="Arial"/>
        </w:rPr>
      </w:pPr>
      <w:r w:rsidRPr="001E6339">
        <w:rPr>
          <w:rFonts w:cs="Arial"/>
        </w:rPr>
        <w:t>(4) Pro nově uzavírané i stávající smluvní vztahy je</w:t>
      </w:r>
      <w:r w:rsidR="009C2724" w:rsidRPr="001E6339">
        <w:rPr>
          <w:rFonts w:cs="Arial"/>
        </w:rPr>
        <w:t xml:space="preserve"> do doby splnění povinnosti podle bodu (3) části II. výroku tohoto rozhodnutí</w:t>
      </w:r>
      <w:r w:rsidRPr="001E6339">
        <w:rPr>
          <w:rFonts w:cs="Arial"/>
        </w:rPr>
        <w:t xml:space="preserve"> účastník řízení povinen sjednat a uplatňovat ceny za službu podle bodu (2) části I. výroku tohoto rozhodnutí maximálně ve výši uplatňované účastníkem řízení ke dni nabytí právní moci tohoto rozhodnutí v souladu podle předchozí uplatněné regulace rozhodnutím č. CEN/4/08.2015-4, čj. ČTÚ-1 849/2015-611 ze dne 7.</w:t>
      </w:r>
      <w:r w:rsidR="00CD2F13" w:rsidRPr="001E6339">
        <w:rPr>
          <w:rFonts w:cs="Arial"/>
        </w:rPr>
        <w:t> </w:t>
      </w:r>
      <w:r w:rsidRPr="001E6339">
        <w:rPr>
          <w:rFonts w:cs="Arial"/>
        </w:rPr>
        <w:t>srpna 2015.</w:t>
      </w:r>
    </w:p>
    <w:p w:rsidR="001B2DD5" w:rsidRPr="001E6339" w:rsidRDefault="001B2DD5" w:rsidP="00287DAB">
      <w:pPr>
        <w:pStyle w:val="Odstavecseseznamem"/>
        <w:spacing w:after="120"/>
        <w:ind w:left="142" w:firstLine="567"/>
        <w:contextualSpacing w:val="0"/>
        <w:jc w:val="both"/>
        <w:outlineLvl w:val="0"/>
        <w:rPr>
          <w:rFonts w:cs="Arial"/>
        </w:rPr>
      </w:pPr>
      <w:r w:rsidRPr="001E6339">
        <w:rPr>
          <w:rFonts w:cs="Arial"/>
        </w:rPr>
        <w:t>(5) Účastník řízení je povinen doložit správnímu orgánu plnění povinnosti podle bodu (2) části I. výroku tohoto rozhodnutí</w:t>
      </w:r>
      <w:r w:rsidR="00754C6F" w:rsidRPr="001E6339">
        <w:rPr>
          <w:rFonts w:cs="Arial"/>
        </w:rPr>
        <w:t xml:space="preserve"> předložením výpočtu v </w:t>
      </w:r>
      <w:r w:rsidR="001E62B8">
        <w:rPr>
          <w:rFonts w:cs="Arial"/>
        </w:rPr>
        <w:t>N</w:t>
      </w:r>
      <w:r w:rsidR="00754C6F" w:rsidRPr="001E6339">
        <w:rPr>
          <w:rFonts w:cs="Arial"/>
        </w:rPr>
        <w:t>ákladovém modelu velkoobchodního (fyzického) přístupu k infrastruktuře sítě</w:t>
      </w:r>
      <w:r w:rsidR="00E0349E">
        <w:rPr>
          <w:rFonts w:cs="Arial"/>
        </w:rPr>
        <w:t xml:space="preserve"> (včetně sdíleného nebo plného zpřístupnění účastnického vedení) v pevném místě, velkoobchodního širokopásmového přístupu v sítích elektronických komunikací a souvisejícího maloobchodního trhu</w:t>
      </w:r>
      <w:r w:rsidRPr="001E6339">
        <w:rPr>
          <w:rFonts w:cs="Arial"/>
        </w:rPr>
        <w:t xml:space="preserve"> nejpozději v</w:t>
      </w:r>
      <w:r w:rsidR="00647C31" w:rsidRPr="001E6339">
        <w:rPr>
          <w:rFonts w:cs="Arial"/>
        </w:rPr>
        <w:t> </w:t>
      </w:r>
      <w:r w:rsidRPr="001E6339">
        <w:rPr>
          <w:rFonts w:cs="Arial"/>
        </w:rPr>
        <w:t>den</w:t>
      </w:r>
      <w:r w:rsidR="00647C31" w:rsidRPr="001E6339">
        <w:rPr>
          <w:rFonts w:cs="Arial"/>
        </w:rPr>
        <w:t xml:space="preserve"> splnění povinnosti podle bodu (3) části II. výroku tohoto rozhodnutí.</w:t>
      </w:r>
    </w:p>
    <w:p w:rsidR="006D7F86" w:rsidRPr="001E6339" w:rsidRDefault="006D7F86" w:rsidP="00297488">
      <w:pPr>
        <w:pStyle w:val="HlavStyl"/>
        <w:keepNext/>
        <w:tabs>
          <w:tab w:val="center" w:pos="5954"/>
          <w:tab w:val="right" w:pos="9072"/>
        </w:tabs>
        <w:spacing w:before="360" w:after="240"/>
        <w:jc w:val="center"/>
        <w:rPr>
          <w:b/>
        </w:rPr>
      </w:pPr>
      <w:r w:rsidRPr="001E6339">
        <w:rPr>
          <w:b/>
        </w:rPr>
        <w:lastRenderedPageBreak/>
        <w:t>III.</w:t>
      </w:r>
    </w:p>
    <w:p w:rsidR="006D7F86" w:rsidRPr="001E6339" w:rsidRDefault="006D7F86" w:rsidP="00A27C6F">
      <w:pPr>
        <w:ind w:firstLine="709"/>
        <w:jc w:val="both"/>
      </w:pPr>
      <w:r w:rsidRPr="001E6339">
        <w:t>Podle § 101 písm. e) a § 102 odst. 9 Správního řádu nabytím právní moci tohoto rozhodnutí pozbýv</w:t>
      </w:r>
      <w:r w:rsidR="0013640C" w:rsidRPr="001E6339">
        <w:t>á</w:t>
      </w:r>
      <w:r w:rsidRPr="001E6339">
        <w:t xml:space="preserve"> vykonatelnosti a jiných právních účinků rozhodnutí Rady Českého telekomunikačního úřadu ve věci uložení povinnosti podniku s významnou tržní silou na relevantním trhu </w:t>
      </w:r>
      <w:r w:rsidRPr="001E6339">
        <w:rPr>
          <w:rFonts w:cs="Arial"/>
        </w:rPr>
        <w:t xml:space="preserve">„Velkoobchodní (fyzický) přístup k infrastruktuře sítě (včetně sdíleného nebo plného zpřístupnění účastnického vedení) v pevném místě“ </w:t>
      </w:r>
      <w:r w:rsidRPr="001E6339">
        <w:t>č. CEN/4/</w:t>
      </w:r>
      <w:r w:rsidR="000E0169" w:rsidRPr="001E6339">
        <w:t>08</w:t>
      </w:r>
      <w:r w:rsidRPr="001E6339">
        <w:t>.201</w:t>
      </w:r>
      <w:r w:rsidR="000E0169" w:rsidRPr="001E6339">
        <w:t>5</w:t>
      </w:r>
      <w:r w:rsidRPr="001E6339">
        <w:t>-</w:t>
      </w:r>
      <w:r w:rsidR="000E0169" w:rsidRPr="001E6339">
        <w:t>4</w:t>
      </w:r>
      <w:r w:rsidRPr="001E6339">
        <w:t xml:space="preserve">, čj. </w:t>
      </w:r>
      <w:r w:rsidR="00875AE7" w:rsidRPr="001E6339">
        <w:t>ČTÚ</w:t>
      </w:r>
      <w:r w:rsidR="0013640C" w:rsidRPr="001E6339">
        <w:noBreakHyphen/>
      </w:r>
      <w:r w:rsidRPr="001E6339">
        <w:t>1</w:t>
      </w:r>
      <w:r w:rsidR="0013640C" w:rsidRPr="001E6339">
        <w:t> </w:t>
      </w:r>
      <w:r w:rsidRPr="001E6339">
        <w:t>8</w:t>
      </w:r>
      <w:r w:rsidR="00875AE7" w:rsidRPr="001E6339">
        <w:t>49</w:t>
      </w:r>
      <w:r w:rsidRPr="001E6339">
        <w:t>/201</w:t>
      </w:r>
      <w:r w:rsidR="00875AE7" w:rsidRPr="001E6339">
        <w:t>5</w:t>
      </w:r>
      <w:r w:rsidRPr="001E6339">
        <w:t xml:space="preserve">-611 ze dne </w:t>
      </w:r>
      <w:r w:rsidR="00875AE7" w:rsidRPr="001E6339">
        <w:t>7</w:t>
      </w:r>
      <w:r w:rsidRPr="001E6339">
        <w:t xml:space="preserve">. </w:t>
      </w:r>
      <w:r w:rsidR="00875AE7" w:rsidRPr="001E6339">
        <w:t>srpn</w:t>
      </w:r>
      <w:r w:rsidRPr="001E6339">
        <w:t>a 201</w:t>
      </w:r>
      <w:r w:rsidR="00875AE7" w:rsidRPr="001E6339">
        <w:t>5, kterým</w:t>
      </w:r>
      <w:r w:rsidRPr="001E6339">
        <w:t xml:space="preserve"> byly účastníku řízení uloženy povinnosti související s regulací cen podle výsledků analýzy relevantního trhu vydané opatřením obecné povahy Českého telekomunikačního úřadu č. A/4/</w:t>
      </w:r>
      <w:r w:rsidR="00875AE7" w:rsidRPr="001E6339">
        <w:t>1</w:t>
      </w:r>
      <w:r w:rsidRPr="001E6339">
        <w:t>0.201</w:t>
      </w:r>
      <w:r w:rsidR="00875AE7" w:rsidRPr="001E6339">
        <w:t>4</w:t>
      </w:r>
      <w:r w:rsidRPr="001E6339">
        <w:t>-</w:t>
      </w:r>
      <w:r w:rsidR="00875AE7" w:rsidRPr="001E6339">
        <w:t>8</w:t>
      </w:r>
      <w:r w:rsidRPr="001E6339">
        <w:t>.</w:t>
      </w:r>
    </w:p>
    <w:p w:rsidR="003F1BEC" w:rsidRPr="001E6339" w:rsidRDefault="003F1BEC" w:rsidP="00A27C6F">
      <w:pPr>
        <w:keepNext/>
        <w:spacing w:before="480" w:after="240"/>
        <w:jc w:val="center"/>
        <w:outlineLvl w:val="0"/>
        <w:rPr>
          <w:b/>
        </w:rPr>
      </w:pPr>
      <w:r w:rsidRPr="001E6339">
        <w:rPr>
          <w:b/>
        </w:rPr>
        <w:t>Odůvodnění:</w:t>
      </w:r>
    </w:p>
    <w:p w:rsidR="00523750" w:rsidRPr="001E6339" w:rsidRDefault="00523750" w:rsidP="00C32177">
      <w:pPr>
        <w:spacing w:after="120"/>
        <w:ind w:firstLine="709"/>
        <w:jc w:val="both"/>
        <w:rPr>
          <w:rFonts w:cs="Arial"/>
        </w:rPr>
      </w:pPr>
      <w:r w:rsidRPr="001E6339">
        <w:rPr>
          <w:rFonts w:cs="Arial"/>
        </w:rPr>
        <w:t xml:space="preserve">Český telekomunikační úřad (dále jen „Úřad“) provedl v souladu s § 51 odst. </w:t>
      </w:r>
      <w:smartTag w:uri="urn:schemas-microsoft-com:office:smarttags" w:element="metricconverter">
        <w:smartTagPr>
          <w:attr w:name="ProductID" w:val="1 a"/>
        </w:smartTagPr>
        <w:r w:rsidRPr="001E6339">
          <w:rPr>
            <w:rFonts w:cs="Arial"/>
          </w:rPr>
          <w:t>1 a</w:t>
        </w:r>
      </w:smartTag>
      <w:r w:rsidRPr="001E6339">
        <w:rPr>
          <w:rFonts w:cs="Arial"/>
        </w:rPr>
        <w:t xml:space="preserve"> 2 Zákona analýzu trhu č. </w:t>
      </w:r>
      <w:r w:rsidR="00875AE7" w:rsidRPr="001E6339">
        <w:rPr>
          <w:rFonts w:cs="Arial"/>
        </w:rPr>
        <w:t>3a</w:t>
      </w:r>
      <w:r w:rsidRPr="001E6339">
        <w:rPr>
          <w:rFonts w:cs="Arial"/>
        </w:rPr>
        <w:t xml:space="preserve"> – </w:t>
      </w:r>
      <w:r w:rsidR="00721311" w:rsidRPr="001E6339">
        <w:rPr>
          <w:rFonts w:cs="Arial"/>
        </w:rPr>
        <w:t>„</w:t>
      </w:r>
      <w:r w:rsidR="00875AE7" w:rsidRPr="001E6339">
        <w:rPr>
          <w:rFonts w:cs="Arial"/>
        </w:rPr>
        <w:t>Velkoobchodní služby s místním přístupem poskytovaným v</w:t>
      </w:r>
      <w:r w:rsidR="00CD2F13" w:rsidRPr="001E6339">
        <w:rPr>
          <w:rFonts w:cs="Arial"/>
        </w:rPr>
        <w:t> </w:t>
      </w:r>
      <w:r w:rsidR="00875AE7" w:rsidRPr="001E6339">
        <w:rPr>
          <w:rFonts w:cs="Arial"/>
        </w:rPr>
        <w:t>pevném místě</w:t>
      </w:r>
      <w:r w:rsidR="00721311" w:rsidRPr="001E6339">
        <w:rPr>
          <w:rFonts w:cs="Arial"/>
        </w:rPr>
        <w:t>“</w:t>
      </w:r>
      <w:r w:rsidRPr="001E6339">
        <w:rPr>
          <w:rFonts w:cs="Arial"/>
        </w:rPr>
        <w:t xml:space="preserve"> (dále jen „trh č. </w:t>
      </w:r>
      <w:r w:rsidR="00875AE7" w:rsidRPr="001E6339">
        <w:rPr>
          <w:rFonts w:cs="Arial"/>
        </w:rPr>
        <w:t>3a</w:t>
      </w:r>
      <w:r w:rsidRPr="001E6339">
        <w:rPr>
          <w:rFonts w:cs="Arial"/>
        </w:rPr>
        <w:t>“), kterou</w:t>
      </w:r>
      <w:r w:rsidR="006D7F86" w:rsidRPr="001E6339">
        <w:rPr>
          <w:rFonts w:cs="Arial"/>
        </w:rPr>
        <w:t xml:space="preserve"> </w:t>
      </w:r>
      <w:r w:rsidRPr="001E6339">
        <w:rPr>
          <w:rFonts w:cs="Arial"/>
        </w:rPr>
        <w:t>vydal</w:t>
      </w:r>
      <w:r w:rsidR="00802A35" w:rsidRPr="001E6339">
        <w:rPr>
          <w:rFonts w:cs="Arial"/>
        </w:rPr>
        <w:t xml:space="preserve"> jako opatření obecné povahy č. </w:t>
      </w:r>
      <w:r w:rsidR="00875AE7" w:rsidRPr="001E6339">
        <w:rPr>
          <w:rFonts w:cs="Arial"/>
        </w:rPr>
        <w:t>A/3a/</w:t>
      </w:r>
      <w:r w:rsidR="00974C73" w:rsidRPr="001E6339">
        <w:rPr>
          <w:rFonts w:cs="Arial"/>
        </w:rPr>
        <w:t>07</w:t>
      </w:r>
      <w:r w:rsidR="00875AE7" w:rsidRPr="001E6339">
        <w:rPr>
          <w:rFonts w:cs="Arial"/>
        </w:rPr>
        <w:t>.2017-</w:t>
      </w:r>
      <w:r w:rsidR="00974C73" w:rsidRPr="001E6339">
        <w:rPr>
          <w:rFonts w:cs="Arial"/>
        </w:rPr>
        <w:t xml:space="preserve">3 </w:t>
      </w:r>
      <w:r w:rsidR="007A6F64" w:rsidRPr="001E6339">
        <w:rPr>
          <w:rFonts w:cs="Arial"/>
        </w:rPr>
        <w:t xml:space="preserve">ze dne </w:t>
      </w:r>
      <w:r w:rsidR="00974C73" w:rsidRPr="001E6339">
        <w:rPr>
          <w:rFonts w:cs="Arial"/>
        </w:rPr>
        <w:t>18</w:t>
      </w:r>
      <w:r w:rsidR="007A6F64" w:rsidRPr="001E6339">
        <w:rPr>
          <w:rFonts w:cs="Arial"/>
        </w:rPr>
        <w:t>.</w:t>
      </w:r>
      <w:r w:rsidR="00721311" w:rsidRPr="001E6339">
        <w:rPr>
          <w:rFonts w:cs="Arial"/>
        </w:rPr>
        <w:t xml:space="preserve"> </w:t>
      </w:r>
      <w:r w:rsidR="00974C73" w:rsidRPr="001E6339">
        <w:rPr>
          <w:rFonts w:cs="Arial"/>
        </w:rPr>
        <w:t xml:space="preserve">července </w:t>
      </w:r>
      <w:r w:rsidR="00F73675" w:rsidRPr="001E6339">
        <w:rPr>
          <w:rFonts w:cs="Arial"/>
        </w:rPr>
        <w:t>201</w:t>
      </w:r>
      <w:r w:rsidR="00875AE7" w:rsidRPr="001E6339">
        <w:rPr>
          <w:rFonts w:cs="Arial"/>
        </w:rPr>
        <w:t>7</w:t>
      </w:r>
      <w:r w:rsidR="008131C5" w:rsidRPr="001E6339">
        <w:rPr>
          <w:rFonts w:cs="Arial"/>
        </w:rPr>
        <w:t xml:space="preserve"> a uveřejnil</w:t>
      </w:r>
      <w:r w:rsidRPr="001E6339">
        <w:rPr>
          <w:rFonts w:cs="Arial"/>
        </w:rPr>
        <w:t xml:space="preserve"> dne </w:t>
      </w:r>
      <w:r w:rsidR="00B72C19" w:rsidRPr="001E6339">
        <w:rPr>
          <w:rFonts w:cs="Arial"/>
        </w:rPr>
        <w:t>9</w:t>
      </w:r>
      <w:r w:rsidRPr="001E6339">
        <w:rPr>
          <w:rFonts w:cs="Arial"/>
        </w:rPr>
        <w:t>.</w:t>
      </w:r>
      <w:r w:rsidR="004C0B07" w:rsidRPr="001E6339">
        <w:rPr>
          <w:rFonts w:cs="Arial"/>
        </w:rPr>
        <w:t xml:space="preserve"> </w:t>
      </w:r>
      <w:r w:rsidR="00B72C19" w:rsidRPr="001E6339">
        <w:rPr>
          <w:rFonts w:cs="Arial"/>
        </w:rPr>
        <w:t xml:space="preserve">srpna </w:t>
      </w:r>
      <w:r w:rsidR="00F73675" w:rsidRPr="001E6339">
        <w:rPr>
          <w:rFonts w:cs="Arial"/>
        </w:rPr>
        <w:t>201</w:t>
      </w:r>
      <w:r w:rsidR="00875AE7" w:rsidRPr="001E6339">
        <w:rPr>
          <w:rFonts w:cs="Arial"/>
        </w:rPr>
        <w:t>7</w:t>
      </w:r>
      <w:r w:rsidRPr="001E6339">
        <w:rPr>
          <w:rFonts w:cs="Arial"/>
        </w:rPr>
        <w:t xml:space="preserve"> v částce </w:t>
      </w:r>
      <w:r w:rsidR="008131C5" w:rsidRPr="001E6339">
        <w:rPr>
          <w:rFonts w:cs="Arial"/>
        </w:rPr>
        <w:t>10</w:t>
      </w:r>
      <w:r w:rsidRPr="001E6339">
        <w:rPr>
          <w:rFonts w:cs="Arial"/>
        </w:rPr>
        <w:t>/</w:t>
      </w:r>
      <w:r w:rsidR="00F73675" w:rsidRPr="001E6339">
        <w:rPr>
          <w:rFonts w:cs="Arial"/>
        </w:rPr>
        <w:t>201</w:t>
      </w:r>
      <w:r w:rsidR="00875AE7" w:rsidRPr="001E6339">
        <w:rPr>
          <w:rFonts w:cs="Arial"/>
        </w:rPr>
        <w:t>7</w:t>
      </w:r>
      <w:r w:rsidRPr="001E6339">
        <w:rPr>
          <w:rFonts w:cs="Arial"/>
        </w:rPr>
        <w:t xml:space="preserve"> Telekomunikačního věstníku. Výsledky analýzy prokázaly, že trh č. </w:t>
      </w:r>
      <w:r w:rsidR="00875AE7" w:rsidRPr="001E6339">
        <w:rPr>
          <w:rFonts w:cs="Arial"/>
        </w:rPr>
        <w:t>3a</w:t>
      </w:r>
      <w:r w:rsidRPr="001E6339">
        <w:rPr>
          <w:rFonts w:cs="Arial"/>
        </w:rPr>
        <w:t xml:space="preserve"> není efektivně konkurenčním trhem, neboť na něm působí podnik s významnou tržní silou. Rozhodnutím správního orgánu č. SMP/</w:t>
      </w:r>
      <w:r w:rsidR="00875AE7" w:rsidRPr="001E6339">
        <w:rPr>
          <w:rFonts w:cs="Arial"/>
        </w:rPr>
        <w:t>3a</w:t>
      </w:r>
      <w:r w:rsidRPr="001E6339">
        <w:rPr>
          <w:rFonts w:cs="Arial"/>
        </w:rPr>
        <w:t>/</w:t>
      </w:r>
      <w:r w:rsidR="00EF4343" w:rsidRPr="001E6339">
        <w:rPr>
          <w:rFonts w:cs="Arial"/>
        </w:rPr>
        <w:t>XX</w:t>
      </w:r>
      <w:r w:rsidRPr="001E6339">
        <w:rPr>
          <w:rFonts w:cs="Arial"/>
        </w:rPr>
        <w:t>.201</w:t>
      </w:r>
      <w:r w:rsidR="00875AE7" w:rsidRPr="001E6339">
        <w:rPr>
          <w:rFonts w:cs="Arial"/>
        </w:rPr>
        <w:t>7</w:t>
      </w:r>
      <w:r w:rsidRPr="001E6339">
        <w:rPr>
          <w:rFonts w:cs="Arial"/>
        </w:rPr>
        <w:t>-</w:t>
      </w:r>
      <w:r w:rsidR="00EF4343" w:rsidRPr="001E6339">
        <w:rPr>
          <w:rFonts w:cs="Arial"/>
        </w:rPr>
        <w:t>Y ze dne XX</w:t>
      </w:r>
      <w:r w:rsidRPr="001E6339">
        <w:rPr>
          <w:rFonts w:cs="Arial"/>
        </w:rPr>
        <w:t xml:space="preserve">. </w:t>
      </w:r>
      <w:r w:rsidR="007A6F64" w:rsidRPr="001E6339">
        <w:rPr>
          <w:rFonts w:cs="Arial"/>
        </w:rPr>
        <w:t>XX</w:t>
      </w:r>
      <w:r w:rsidR="00B1419B" w:rsidRPr="001E6339">
        <w:rPr>
          <w:rFonts w:cs="Arial"/>
        </w:rPr>
        <w:t>X</w:t>
      </w:r>
      <w:r w:rsidR="007A6F64" w:rsidRPr="001E6339">
        <w:rPr>
          <w:rFonts w:cs="Arial"/>
        </w:rPr>
        <w:t xml:space="preserve">X </w:t>
      </w:r>
      <w:r w:rsidR="00F73675" w:rsidRPr="001E6339">
        <w:rPr>
          <w:rFonts w:cs="Arial"/>
        </w:rPr>
        <w:t>201</w:t>
      </w:r>
      <w:r w:rsidR="00875AE7" w:rsidRPr="001E6339">
        <w:rPr>
          <w:rFonts w:cs="Arial"/>
        </w:rPr>
        <w:t>7</w:t>
      </w:r>
      <w:r w:rsidRPr="001E6339">
        <w:rPr>
          <w:rFonts w:cs="Arial"/>
        </w:rPr>
        <w:t xml:space="preserve">, které bylo vydáno pod čj. </w:t>
      </w:r>
      <w:r w:rsidR="00B1419B" w:rsidRPr="001E6339">
        <w:rPr>
          <w:rFonts w:cs="Arial"/>
        </w:rPr>
        <w:t>ČTÚ-</w:t>
      </w:r>
      <w:r w:rsidR="00FE7A91">
        <w:rPr>
          <w:rFonts w:cs="Arial"/>
        </w:rPr>
        <w:t>42 315</w:t>
      </w:r>
      <w:r w:rsidRPr="001E6339">
        <w:rPr>
          <w:rFonts w:cs="Arial"/>
        </w:rPr>
        <w:t>/</w:t>
      </w:r>
      <w:r w:rsidR="00F73675" w:rsidRPr="001E6339">
        <w:rPr>
          <w:rFonts w:cs="Arial"/>
        </w:rPr>
        <w:t>201</w:t>
      </w:r>
      <w:r w:rsidR="00875AE7" w:rsidRPr="001E6339">
        <w:rPr>
          <w:rFonts w:cs="Arial"/>
        </w:rPr>
        <w:t>7</w:t>
      </w:r>
      <w:r w:rsidR="00F73675" w:rsidRPr="001E6339">
        <w:rPr>
          <w:rFonts w:cs="Arial"/>
        </w:rPr>
        <w:t>-611</w:t>
      </w:r>
      <w:r w:rsidRPr="001E6339">
        <w:rPr>
          <w:rFonts w:cs="Arial"/>
        </w:rPr>
        <w:t xml:space="preserve">, a které nabylo právní moci dne </w:t>
      </w:r>
      <w:r w:rsidR="00EF4343" w:rsidRPr="001E6339">
        <w:rPr>
          <w:rFonts w:cs="Arial"/>
        </w:rPr>
        <w:t>XX</w:t>
      </w:r>
      <w:r w:rsidRPr="001E6339">
        <w:rPr>
          <w:rFonts w:cs="Arial"/>
        </w:rPr>
        <w:t xml:space="preserve">. </w:t>
      </w:r>
      <w:r w:rsidR="007A6F64" w:rsidRPr="001E6339">
        <w:rPr>
          <w:rFonts w:cs="Arial"/>
        </w:rPr>
        <w:t>X</w:t>
      </w:r>
      <w:r w:rsidR="00B1419B" w:rsidRPr="001E6339">
        <w:rPr>
          <w:rFonts w:cs="Arial"/>
        </w:rPr>
        <w:t>X</w:t>
      </w:r>
      <w:r w:rsidR="007A6F64" w:rsidRPr="001E6339">
        <w:rPr>
          <w:rFonts w:cs="Arial"/>
        </w:rPr>
        <w:t xml:space="preserve">XX </w:t>
      </w:r>
      <w:r w:rsidR="00F73675" w:rsidRPr="001E6339">
        <w:rPr>
          <w:rFonts w:cs="Arial"/>
        </w:rPr>
        <w:t>201</w:t>
      </w:r>
      <w:r w:rsidR="00875AE7" w:rsidRPr="001E6339">
        <w:rPr>
          <w:rFonts w:cs="Arial"/>
        </w:rPr>
        <w:t>7</w:t>
      </w:r>
      <w:r w:rsidRPr="001E6339">
        <w:rPr>
          <w:rFonts w:cs="Arial"/>
        </w:rPr>
        <w:t>, byl účastník řízení stanoven jako podnik s významnou tržní silou.</w:t>
      </w:r>
      <w:r w:rsidR="00875AE7" w:rsidRPr="001E6339">
        <w:rPr>
          <w:rFonts w:cs="Arial"/>
        </w:rPr>
        <w:t xml:space="preserve"> </w:t>
      </w:r>
    </w:p>
    <w:p w:rsidR="00EF4343" w:rsidRPr="001E6339" w:rsidRDefault="00523750" w:rsidP="00C32177">
      <w:pPr>
        <w:ind w:firstLine="709"/>
        <w:jc w:val="both"/>
        <w:rPr>
          <w:rFonts w:cs="Arial"/>
        </w:rPr>
      </w:pPr>
      <w:r w:rsidRPr="001E6339">
        <w:rPr>
          <w:rFonts w:cs="Arial"/>
        </w:rPr>
        <w:t>V p</w:t>
      </w:r>
      <w:r w:rsidR="00710D83" w:rsidRPr="001E6339">
        <w:rPr>
          <w:rFonts w:cs="Arial"/>
        </w:rPr>
        <w:t>řípadě účastníka řízení analýza</w:t>
      </w:r>
      <w:r w:rsidRPr="001E6339">
        <w:rPr>
          <w:rFonts w:cs="Arial"/>
        </w:rPr>
        <w:t xml:space="preserve"> prokázala, že jsou naplněny podmínky pro uložení regulace</w:t>
      </w:r>
      <w:r w:rsidR="004C0B07" w:rsidRPr="001E6339">
        <w:rPr>
          <w:rFonts w:cs="Arial"/>
        </w:rPr>
        <w:t xml:space="preserve"> cen</w:t>
      </w:r>
      <w:r w:rsidRPr="001E6339">
        <w:rPr>
          <w:rFonts w:cs="Arial"/>
        </w:rPr>
        <w:t xml:space="preserve"> podle § </w:t>
      </w:r>
      <w:r w:rsidR="004C0B07" w:rsidRPr="001E6339">
        <w:rPr>
          <w:rFonts w:cs="Arial"/>
        </w:rPr>
        <w:t xml:space="preserve">51 odst. 5 písm. f) Zákona a navrhla mu uložit </w:t>
      </w:r>
      <w:r w:rsidRPr="001E6339">
        <w:rPr>
          <w:rFonts w:cs="Arial"/>
        </w:rPr>
        <w:t>povinnosti související s regulací cen</w:t>
      </w:r>
      <w:r w:rsidR="004C0B07" w:rsidRPr="001E6339">
        <w:rPr>
          <w:rFonts w:cs="Arial"/>
        </w:rPr>
        <w:t>. Správní orgán proto přistoupil k uložení povinností uvedených ve výroku tohoto rozhodnutí.</w:t>
      </w:r>
    </w:p>
    <w:p w:rsidR="00351776" w:rsidRPr="001E6339" w:rsidRDefault="00351776" w:rsidP="00C32177">
      <w:pPr>
        <w:spacing w:before="240" w:after="120"/>
        <w:ind w:firstLine="709"/>
        <w:jc w:val="both"/>
        <w:outlineLvl w:val="0"/>
        <w:rPr>
          <w:rFonts w:cs="Arial"/>
        </w:rPr>
      </w:pPr>
      <w:r w:rsidRPr="001E6339">
        <w:rPr>
          <w:rFonts w:cs="Arial"/>
        </w:rPr>
        <w:t xml:space="preserve">K části I. </w:t>
      </w:r>
      <w:r w:rsidR="000C5F18" w:rsidRPr="001E6339">
        <w:rPr>
          <w:rFonts w:cs="Arial"/>
        </w:rPr>
        <w:t>v</w:t>
      </w:r>
      <w:r w:rsidRPr="001E6339">
        <w:rPr>
          <w:rFonts w:cs="Arial"/>
        </w:rPr>
        <w:t>ýroku</w:t>
      </w:r>
    </w:p>
    <w:p w:rsidR="007A6F64" w:rsidRPr="001E6339" w:rsidRDefault="007A6F64" w:rsidP="00C32177">
      <w:pPr>
        <w:spacing w:after="120"/>
        <w:ind w:firstLine="709"/>
        <w:jc w:val="both"/>
      </w:pPr>
      <w:r w:rsidRPr="001E6339">
        <w:t>Správní orgán je podle ustanovení § 56 odst. 4 Zákona povinen při uplatňování cenové regulace brát do úvahy ochranu zájm</w:t>
      </w:r>
      <w:r w:rsidR="00FE7A91">
        <w:t>ů</w:t>
      </w:r>
      <w:r w:rsidRPr="001E6339">
        <w:t xml:space="preserve"> subjektu, jehož ceny jsou regulovány tak, aby cena plynoucí z rozhodnutí správního orgánu byla</w:t>
      </w:r>
      <w:r w:rsidR="00FE7A91">
        <w:t xml:space="preserve"> přinejmenším</w:t>
      </w:r>
      <w:r w:rsidRPr="001E6339">
        <w:t xml:space="preserve"> nákladová. Nákladově orientovanou cenou se podle ustanovení § 55 odst. 2 Zákona rozumí cena, která zahrnuje efektivně a účelně vynaložené náklady a přiměřený zisk</w:t>
      </w:r>
      <w:r w:rsidR="00B22437" w:rsidRPr="001E6339">
        <w:t>,</w:t>
      </w:r>
      <w:r w:rsidRPr="001E6339">
        <w:t xml:space="preserve"> a která se sjedná tak, aby zajistila návratnost investic v přiměřeném časovém období a zohlednila příslušná rizika, včetně rizik spojených s investicemi do nových sítí.</w:t>
      </w:r>
    </w:p>
    <w:p w:rsidR="005F434E" w:rsidRPr="001E6339" w:rsidRDefault="007A6F64" w:rsidP="00C32177">
      <w:pPr>
        <w:spacing w:after="120"/>
        <w:ind w:firstLine="709"/>
        <w:jc w:val="both"/>
        <w:rPr>
          <w:rFonts w:cs="Arial"/>
        </w:rPr>
      </w:pPr>
      <w:r w:rsidRPr="001E6339">
        <w:rPr>
          <w:rFonts w:cs="Arial"/>
        </w:rPr>
        <w:t xml:space="preserve">Správní orgán je s ohledem na ustanovení § 108 odst. 3 Zákona povinen při výkonu své působnosti vycházet rovněž z doporučení Evropské komise. </w:t>
      </w:r>
      <w:r w:rsidR="00B7012A" w:rsidRPr="001E6339">
        <w:rPr>
          <w:rFonts w:cs="Arial"/>
        </w:rPr>
        <w:t>Rozhodne-li se správní orgán nepostupovat</w:t>
      </w:r>
      <w:r w:rsidR="005F434E" w:rsidRPr="001E6339">
        <w:rPr>
          <w:rFonts w:cs="Arial"/>
        </w:rPr>
        <w:t xml:space="preserve"> podle doporučení Evropské komise, kterým se harmonizuje uplatňování práva Evropské unie upravujícího oblast elektronických komunikací, bezodkladně o tom Evropskou komisi informuje spolu s odůvodněním takového postupu.</w:t>
      </w:r>
    </w:p>
    <w:p w:rsidR="005F434E" w:rsidRPr="001E6339" w:rsidRDefault="007A6F64" w:rsidP="00C32177">
      <w:pPr>
        <w:spacing w:after="120"/>
        <w:ind w:firstLine="709"/>
        <w:jc w:val="both"/>
        <w:rPr>
          <w:rFonts w:cs="Arial"/>
        </w:rPr>
      </w:pPr>
      <w:r w:rsidRPr="001E6339">
        <w:rPr>
          <w:rFonts w:cs="Arial"/>
        </w:rPr>
        <w:t xml:space="preserve">S ohledem na výše uvedené správní orgán přihlédl </w:t>
      </w:r>
      <w:r w:rsidR="00376012" w:rsidRPr="001E6339">
        <w:rPr>
          <w:rFonts w:cs="Arial"/>
        </w:rPr>
        <w:t xml:space="preserve">při ukládání nápravného opatření souvisejícího s cenovou regulací účastníku řízení </w:t>
      </w:r>
      <w:r w:rsidRPr="001E6339">
        <w:rPr>
          <w:rFonts w:cs="Arial"/>
        </w:rPr>
        <w:t>k </w:t>
      </w:r>
      <w:r w:rsidR="00721311" w:rsidRPr="001E6339">
        <w:rPr>
          <w:rFonts w:cs="Arial"/>
        </w:rPr>
        <w:t>D</w:t>
      </w:r>
      <w:r w:rsidRPr="001E6339">
        <w:rPr>
          <w:rFonts w:cs="Arial"/>
        </w:rPr>
        <w:t xml:space="preserve">oporučení </w:t>
      </w:r>
      <w:r w:rsidR="00721311" w:rsidRPr="001E6339">
        <w:rPr>
          <w:rFonts w:cs="Arial"/>
        </w:rPr>
        <w:t>K</w:t>
      </w:r>
      <w:r w:rsidRPr="001E6339">
        <w:rPr>
          <w:rFonts w:cs="Arial"/>
        </w:rPr>
        <w:t>omise</w:t>
      </w:r>
      <w:r w:rsidR="00B22437" w:rsidRPr="001E6339">
        <w:rPr>
          <w:rFonts w:cs="Arial"/>
        </w:rPr>
        <w:t xml:space="preserve"> č. 2013/466/EU ze dne 11</w:t>
      </w:r>
      <w:r w:rsidR="006C78A0" w:rsidRPr="001E6339">
        <w:rPr>
          <w:rFonts w:cs="Arial"/>
        </w:rPr>
        <w:t>.</w:t>
      </w:r>
      <w:r w:rsidR="00B22437" w:rsidRPr="001E6339">
        <w:rPr>
          <w:rFonts w:cs="Arial"/>
        </w:rPr>
        <w:t xml:space="preserve"> září 2013</w:t>
      </w:r>
      <w:r w:rsidRPr="001E6339">
        <w:rPr>
          <w:rFonts w:cs="Arial"/>
        </w:rPr>
        <w:t xml:space="preserve"> </w:t>
      </w:r>
      <w:r w:rsidR="00B22437" w:rsidRPr="001E6339">
        <w:rPr>
          <w:rFonts w:cs="Arial"/>
        </w:rPr>
        <w:t>o konzistentních povinnostech nediskriminace a metodikách výpočtu nákladů s cílem podpořit hospodářskou soutěž a zlepšit podmínky pro investice do širokopásmového připojení</w:t>
      </w:r>
      <w:r w:rsidR="00376012" w:rsidRPr="001E6339">
        <w:rPr>
          <w:rFonts w:cs="Arial"/>
        </w:rPr>
        <w:t xml:space="preserve"> </w:t>
      </w:r>
      <w:r w:rsidR="00346E78" w:rsidRPr="001E6339">
        <w:rPr>
          <w:rFonts w:cs="Arial"/>
        </w:rPr>
        <w:t>(dále jen „Doporučení“)</w:t>
      </w:r>
      <w:r w:rsidR="005F434E" w:rsidRPr="001E6339">
        <w:rPr>
          <w:rFonts w:cs="Arial"/>
        </w:rPr>
        <w:t>.</w:t>
      </w:r>
      <w:r w:rsidR="0045581D" w:rsidRPr="001E6339">
        <w:rPr>
          <w:rFonts w:cs="Arial"/>
        </w:rPr>
        <w:t xml:space="preserve"> </w:t>
      </w:r>
    </w:p>
    <w:p w:rsidR="00D91DB6" w:rsidRPr="001E6339" w:rsidRDefault="005F434E" w:rsidP="00C32177">
      <w:pPr>
        <w:spacing w:after="120"/>
        <w:ind w:firstLine="709"/>
        <w:jc w:val="both"/>
        <w:rPr>
          <w:rFonts w:cs="Arial"/>
        </w:rPr>
      </w:pPr>
      <w:r w:rsidRPr="001E6339">
        <w:rPr>
          <w:rFonts w:cs="Arial"/>
        </w:rPr>
        <w:t>Dále správní orgán přihlédl k nově přijatému zákonu č. 194/2017 Sb., o opatřeních ke snížení nákladů na zavádění vysokorychlostních sítí elektronických komunikací a o změně některých souvisejících zákonů (dále jen „ZOSN“), který transponuje</w:t>
      </w:r>
      <w:r w:rsidR="0045581D" w:rsidRPr="001E6339">
        <w:rPr>
          <w:rFonts w:cs="Arial"/>
        </w:rPr>
        <w:t xml:space="preserve"> </w:t>
      </w:r>
      <w:r w:rsidR="0045581D" w:rsidRPr="001E6339">
        <w:rPr>
          <w:bCs/>
        </w:rPr>
        <w:t xml:space="preserve">Směrnici Evropského parlamentu a Rady č. 2014/61/EU ze dne 15. května 2014 o opatřeních ke snížení nákladů na budování vysokorychlostních sítí elektronických </w:t>
      </w:r>
      <w:r w:rsidR="0045581D" w:rsidRPr="001E6339">
        <w:rPr>
          <w:rFonts w:cs="Arial"/>
        </w:rPr>
        <w:t>komunikací (dále jen „Směrnice“)</w:t>
      </w:r>
      <w:r w:rsidR="00376012" w:rsidRPr="001E6339">
        <w:rPr>
          <w:rFonts w:cs="Arial"/>
        </w:rPr>
        <w:t>.</w:t>
      </w:r>
      <w:r w:rsidR="006C78A0" w:rsidRPr="001E6339">
        <w:rPr>
          <w:rFonts w:cs="Arial"/>
        </w:rPr>
        <w:t xml:space="preserve"> </w:t>
      </w:r>
    </w:p>
    <w:p w:rsidR="00C621D1" w:rsidRPr="001E6339" w:rsidRDefault="00C621D1" w:rsidP="00C32177">
      <w:pPr>
        <w:spacing w:after="120"/>
        <w:ind w:firstLine="709"/>
        <w:jc w:val="both"/>
        <w:rPr>
          <w:rFonts w:cs="Arial"/>
        </w:rPr>
      </w:pPr>
      <w:r w:rsidRPr="001E6339">
        <w:rPr>
          <w:rFonts w:cs="Arial"/>
        </w:rPr>
        <w:lastRenderedPageBreak/>
        <w:t>Ma</w:t>
      </w:r>
      <w:r w:rsidR="00B53333" w:rsidRPr="001E6339">
        <w:rPr>
          <w:rFonts w:cs="Arial"/>
        </w:rPr>
        <w:t>ximální ceny</w:t>
      </w:r>
      <w:r w:rsidR="00C01390" w:rsidRPr="001E6339">
        <w:rPr>
          <w:rFonts w:cs="Arial"/>
        </w:rPr>
        <w:t xml:space="preserve"> podle § 58 odst. 1 písm. a) Zákona</w:t>
      </w:r>
      <w:r w:rsidR="00B53333" w:rsidRPr="001E6339">
        <w:rPr>
          <w:rFonts w:cs="Arial"/>
        </w:rPr>
        <w:t xml:space="preserve"> za služby kolokace</w:t>
      </w:r>
      <w:r w:rsidRPr="001E6339">
        <w:rPr>
          <w:rFonts w:cs="Arial"/>
        </w:rPr>
        <w:t xml:space="preserve"> byly stanoveny prostřednictvím </w:t>
      </w:r>
      <w:hyperlink r:id="rId9" w:history="1">
        <w:r w:rsidRPr="001E6339">
          <w:rPr>
            <w:rStyle w:val="Hypertextovodkaz"/>
            <w:rFonts w:cs="Arial"/>
          </w:rPr>
          <w:t>Nákladového modelu pro zpřístupnění prostředků a služeb nezbytných k poskytování služeb prostřednictvím účastnického kovového vedení (kolokace)</w:t>
        </w:r>
      </w:hyperlink>
      <w:r w:rsidR="00B53333" w:rsidRPr="001E6339">
        <w:rPr>
          <w:rFonts w:cs="Arial"/>
        </w:rPr>
        <w:t xml:space="preserve">, který je zveřejněn na webové stránce Úřadu. </w:t>
      </w:r>
      <w:r w:rsidR="00AD18A0" w:rsidRPr="001E6339">
        <w:rPr>
          <w:rFonts w:cs="Arial"/>
        </w:rPr>
        <w:t>Model je založen na metodice „Bottom-up“ přírůstkových nákladů (LRAIC+), vychází z principu oce</w:t>
      </w:r>
      <w:r w:rsidR="00B96A8B" w:rsidRPr="001E6339">
        <w:rPr>
          <w:rFonts w:cs="Arial"/>
        </w:rPr>
        <w:t xml:space="preserve">ňování majetku na bázi současných cen, včetně moderní používané technologie (CCA/MEA). Výpočet jednorázových cen </w:t>
      </w:r>
      <w:r w:rsidR="005A2582" w:rsidRPr="001E6339">
        <w:rPr>
          <w:rFonts w:cs="Arial"/>
        </w:rPr>
        <w:t>kolokace</w:t>
      </w:r>
      <w:r w:rsidR="00B96A8B" w:rsidRPr="001E6339">
        <w:rPr>
          <w:rFonts w:cs="Arial"/>
        </w:rPr>
        <w:t xml:space="preserve"> je stanoven prostřednictvím metodiky ABC (activity based costing).</w:t>
      </w:r>
    </w:p>
    <w:p w:rsidR="00B96A8B" w:rsidRPr="001E6339" w:rsidRDefault="00B96A8B" w:rsidP="00C32177">
      <w:pPr>
        <w:spacing w:after="120"/>
        <w:ind w:firstLine="709"/>
        <w:jc w:val="both"/>
        <w:rPr>
          <w:rFonts w:cs="Arial"/>
        </w:rPr>
      </w:pPr>
      <w:r w:rsidRPr="001E6339">
        <w:rPr>
          <w:rFonts w:cs="Arial"/>
        </w:rPr>
        <w:t>Stanovené ceny zohledňují efektivní a účelně vynaložené náklady, příslušná rizika a</w:t>
      </w:r>
      <w:r w:rsidR="00CD2F13" w:rsidRPr="001E6339">
        <w:rPr>
          <w:rFonts w:cs="Arial"/>
        </w:rPr>
        <w:t> </w:t>
      </w:r>
      <w:r w:rsidRPr="001E6339">
        <w:rPr>
          <w:rFonts w:cs="Arial"/>
        </w:rPr>
        <w:t>návratnost investic v přiměřeném časovém období v souladu s § 57 odst. 3 Zákona. Procento návratnosti vloženého kapitálu před zdaněním WACC bylo použito ve výši 7,89 %, tedy ve výši stanovené v opatření obecné povahy OOP/4/09.2014-6, kterým se stanovení metodika účelového členění nákladů a výnosů a jejich přiřazování a určuje se struktura vykazovaných informací, ve znění opatření č. OOP</w:t>
      </w:r>
      <w:r w:rsidR="00555681" w:rsidRPr="001E6339">
        <w:rPr>
          <w:rFonts w:cs="Arial"/>
        </w:rPr>
        <w:t>/4/12.2015-7.</w:t>
      </w:r>
    </w:p>
    <w:p w:rsidR="00E0349E" w:rsidRDefault="00B53333" w:rsidP="0045581D">
      <w:pPr>
        <w:spacing w:before="120" w:after="120"/>
        <w:ind w:firstLine="709"/>
        <w:jc w:val="both"/>
      </w:pPr>
      <w:r w:rsidRPr="001E6339">
        <w:t>C</w:t>
      </w:r>
      <w:r w:rsidR="00310722" w:rsidRPr="001E6339">
        <w:t xml:space="preserve">eny za </w:t>
      </w:r>
      <w:r w:rsidR="00310722" w:rsidRPr="001E6339">
        <w:rPr>
          <w:rFonts w:cs="Arial"/>
        </w:rPr>
        <w:t>přístup k nenasvícenému vláknu</w:t>
      </w:r>
      <w:r w:rsidRPr="001E6339">
        <w:rPr>
          <w:rFonts w:cs="Arial"/>
        </w:rPr>
        <w:t xml:space="preserve"> pak správní orgán reguluje</w:t>
      </w:r>
      <w:r w:rsidR="00C01390" w:rsidRPr="001E6339">
        <w:rPr>
          <w:rFonts w:cs="Arial"/>
        </w:rPr>
        <w:t xml:space="preserve"> podle § 58 odst. 1 písm. b) bod 3.</w:t>
      </w:r>
      <w:r w:rsidRPr="001E6339">
        <w:rPr>
          <w:rFonts w:cs="Arial"/>
        </w:rPr>
        <w:t xml:space="preserve"> formou nákladové orientace</w:t>
      </w:r>
      <w:r w:rsidR="00C01390" w:rsidRPr="001E6339">
        <w:rPr>
          <w:rFonts w:cs="Arial"/>
        </w:rPr>
        <w:t xml:space="preserve">, a to stanovením závazného postupu při tvorbě ceny prostřednictvím </w:t>
      </w:r>
      <w:r w:rsidR="0044416B">
        <w:rPr>
          <w:rFonts w:cs="Arial"/>
        </w:rPr>
        <w:t>Nákladového</w:t>
      </w:r>
      <w:r w:rsidR="0044416B" w:rsidRPr="001E6339">
        <w:rPr>
          <w:rFonts w:cs="Arial"/>
        </w:rPr>
        <w:t xml:space="preserve"> modelu velkoobchodního (fyzického) přístupu k infrastruktuře sítě</w:t>
      </w:r>
      <w:r w:rsidR="0044416B">
        <w:rPr>
          <w:rFonts w:cs="Arial"/>
        </w:rPr>
        <w:t xml:space="preserve"> (včetně sdíleného nebo plného zpřístupnění účastnického vedení) v pevném místě, velkoobchodního širokopásmového přístupu v sítích elektronických komunikací a souvisejícího maloobchodního trhu</w:t>
      </w:r>
      <w:r w:rsidR="00C01390" w:rsidRPr="001E6339">
        <w:t xml:space="preserve">, který je </w:t>
      </w:r>
      <w:hyperlink r:id="rId10" w:history="1">
        <w:r w:rsidR="000E7D29" w:rsidRPr="00731FCF">
          <w:rPr>
            <w:rStyle w:val="Hypertextovodkaz"/>
            <w:rFonts w:cs="Arial"/>
          </w:rPr>
          <w:t>zveřej</w:t>
        </w:r>
        <w:r w:rsidR="000E7D29" w:rsidRPr="00731FCF">
          <w:rPr>
            <w:rStyle w:val="Hypertextovodkaz"/>
            <w:rFonts w:cs="Arial"/>
          </w:rPr>
          <w:t>n</w:t>
        </w:r>
        <w:r w:rsidR="000E7D29" w:rsidRPr="00731FCF">
          <w:rPr>
            <w:rStyle w:val="Hypertextovodkaz"/>
            <w:rFonts w:cs="Arial"/>
          </w:rPr>
          <w:t>ěn</w:t>
        </w:r>
      </w:hyperlink>
      <w:r w:rsidR="00E0349E" w:rsidRPr="00DB0673">
        <w:rPr>
          <w:rStyle w:val="Znakapoznpodarou"/>
        </w:rPr>
        <w:footnoteReference w:id="2"/>
      </w:r>
      <w:r w:rsidR="00C01390" w:rsidRPr="00DB0673">
        <w:t xml:space="preserve"> </w:t>
      </w:r>
      <w:r w:rsidR="00C01390" w:rsidRPr="001E6339">
        <w:t>na webové stránce Úřadu</w:t>
      </w:r>
      <w:r w:rsidR="00C01390" w:rsidRPr="001E6339">
        <w:rPr>
          <w:rFonts w:cs="Arial"/>
        </w:rPr>
        <w:t xml:space="preserve">. </w:t>
      </w:r>
      <w:r w:rsidR="00066EB7" w:rsidRPr="001E6339">
        <w:rPr>
          <w:rFonts w:cs="Arial"/>
        </w:rPr>
        <w:t xml:space="preserve">Tento model je, v souladu s Doporučením, </w:t>
      </w:r>
      <w:r w:rsidR="00310722" w:rsidRPr="001E6339">
        <w:rPr>
          <w:rFonts w:cs="Arial"/>
        </w:rPr>
        <w:t>založen na metodice LR</w:t>
      </w:r>
      <w:r w:rsidR="005B1125" w:rsidRPr="001E6339">
        <w:rPr>
          <w:rFonts w:cs="Arial"/>
        </w:rPr>
        <w:t>A</w:t>
      </w:r>
      <w:r w:rsidR="00310722" w:rsidRPr="001E6339">
        <w:rPr>
          <w:rFonts w:cs="Arial"/>
        </w:rPr>
        <w:t xml:space="preserve">IC+. Pasivní prvky inženýrských sítí </w:t>
      </w:r>
      <w:r w:rsidR="0009014F" w:rsidRPr="001E6339">
        <w:rPr>
          <w:rFonts w:cs="Arial"/>
        </w:rPr>
        <w:t>j</w:t>
      </w:r>
      <w:r w:rsidR="00310722" w:rsidRPr="001E6339">
        <w:rPr>
          <w:rFonts w:cs="Arial"/>
        </w:rPr>
        <w:t>sou oceněny běžnými náklady a o</w:t>
      </w:r>
      <w:r w:rsidR="00310722" w:rsidRPr="001E6339">
        <w:t>pakovaně použitelné již existující starší prvky inženýrských sítí (jako jsou kabelovody, ochranné HDPE trubky</w:t>
      </w:r>
      <w:r w:rsidR="00FE7A91">
        <w:t xml:space="preserve"> či</w:t>
      </w:r>
      <w:r w:rsidR="00310722" w:rsidRPr="001E6339">
        <w:t xml:space="preserve"> výkopy) jsou oceněny reprodukčními náklady, zohledňujícími uplynulou ekonomickou životnost aktiv. Počáteční hodnota těchto starších aktiv je oceněna účetní hodnotou sníženou o oprávky k okamžiku výpočtu ceny, která je navýšena odpovídajícím indexem</w:t>
      </w:r>
      <w:r w:rsidR="005B1125" w:rsidRPr="001E6339">
        <w:t xml:space="preserve"> cen stavebních prací</w:t>
      </w:r>
      <w:r w:rsidR="00310722" w:rsidRPr="001E6339">
        <w:t xml:space="preserve"> za dobu od pořízení aktiva do výpočtu jeho ceny. Plně odepsané prvky inženýrských sítí již netvoří součást počáteční regulační báze aktiv.</w:t>
      </w:r>
    </w:p>
    <w:p w:rsidR="00310722" w:rsidRPr="001E6339" w:rsidRDefault="00310722" w:rsidP="0045581D">
      <w:pPr>
        <w:spacing w:before="120" w:after="120"/>
        <w:ind w:firstLine="709"/>
        <w:jc w:val="both"/>
      </w:pPr>
      <w:r w:rsidRPr="001E6339">
        <w:t xml:space="preserve"> </w:t>
      </w:r>
      <w:r w:rsidR="0044416B" w:rsidRPr="00DB0673">
        <w:t>Výše zmíněný nákladový model velkoobchodního (fyzického) přístupu k infrastruktuře sítě je součástí správního spisu, do kterého může účastník řízení v souladu se správním řádem nahlížet a model si pro účely plnění povinnosti uvedené v bodu (2) části I. výroku tohoto rozhodnutí zkopírovat (vedle možnosti si tento model stáhnout z webových stránek Úřadu).</w:t>
      </w:r>
    </w:p>
    <w:p w:rsidR="000C1898" w:rsidRPr="001E6339" w:rsidRDefault="005C3E15" w:rsidP="0047190E">
      <w:pPr>
        <w:spacing w:before="120" w:after="120"/>
        <w:jc w:val="both"/>
        <w:rPr>
          <w:rFonts w:cs="Arial"/>
        </w:rPr>
      </w:pPr>
      <w:r w:rsidRPr="001E6339">
        <w:rPr>
          <w:rFonts w:cs="Arial"/>
          <w:color w:val="000000"/>
        </w:rPr>
        <w:tab/>
        <w:t>Správní orgán v rámci tohoto rozhodnutí o ceně neukládá cenovou regulaci na přístup k pasivní infrastruktuře, jak by vyplývalo z </w:t>
      </w:r>
      <w:r w:rsidR="00420D27" w:rsidRPr="001E6339">
        <w:rPr>
          <w:rFonts w:cs="Arial"/>
          <w:color w:val="000000"/>
        </w:rPr>
        <w:t>návrhu</w:t>
      </w:r>
      <w:r w:rsidRPr="001E6339">
        <w:rPr>
          <w:rFonts w:cs="Arial"/>
          <w:color w:val="000000"/>
        </w:rPr>
        <w:t xml:space="preserve"> nápravných opatření v analýze relevantního trhu č. A/3a/07.2017-3, neboť mezi návrhem těchto nápravných opatření v analýze (konkrétně cenové regulace na přístup k pasivní infrastruktuře) a zahájením správního řízení ve věci uložení povinností souvisejících s regulací cen, došlo k přijetí ZOSN</w:t>
      </w:r>
      <w:r w:rsidR="00376012" w:rsidRPr="001E6339">
        <w:rPr>
          <w:rFonts w:cs="Arial"/>
          <w:color w:val="000000"/>
        </w:rPr>
        <w:t>.</w:t>
      </w:r>
      <w:r w:rsidRPr="001E6339">
        <w:rPr>
          <w:rFonts w:cs="Arial"/>
          <w:color w:val="000000"/>
        </w:rPr>
        <w:t xml:space="preserve"> Správní orgán přitom již v analýze relevantního trhu avizoval (viz kap. 4.4, podkapitola „Povinnosti průhlednosti a</w:t>
      </w:r>
      <w:r w:rsidR="00CD2F13" w:rsidRPr="001E6339">
        <w:rPr>
          <w:rFonts w:cs="Arial"/>
          <w:color w:val="000000"/>
        </w:rPr>
        <w:t> </w:t>
      </w:r>
      <w:r w:rsidRPr="001E6339">
        <w:rPr>
          <w:rFonts w:cs="Arial"/>
          <w:color w:val="000000"/>
        </w:rPr>
        <w:t>přístupu k specifickým síťovým prvkům a přiřazeným prostředkům“), že identifikované soutěžní problém</w:t>
      </w:r>
      <w:r w:rsidR="00420D27" w:rsidRPr="001E6339">
        <w:rPr>
          <w:rFonts w:cs="Arial"/>
          <w:color w:val="000000"/>
        </w:rPr>
        <w:t>y</w:t>
      </w:r>
      <w:r w:rsidRPr="001E6339">
        <w:rPr>
          <w:rFonts w:cs="Arial"/>
          <w:color w:val="000000"/>
        </w:rPr>
        <w:t>, vč. účtování nepřiměřených cen, budou řešeny na základě povinností vyplývajících ze Směrnice, implementované</w:t>
      </w:r>
      <w:r w:rsidR="00420D27" w:rsidRPr="001E6339">
        <w:rPr>
          <w:rFonts w:cs="Arial"/>
          <w:color w:val="000000"/>
        </w:rPr>
        <w:t xml:space="preserve"> v České republice</w:t>
      </w:r>
      <w:r w:rsidRPr="001E6339">
        <w:rPr>
          <w:rFonts w:cs="Arial"/>
          <w:color w:val="000000"/>
        </w:rPr>
        <w:t xml:space="preserve"> právě přijetím ZOSN. Tento zákon by tedy měl zajistit jak přístup k pasivní infrastruktuře (vyjma nenasvíceného vlákna, na které se ZOSN nevztahuje a je proto i nadále předmětem cenové regulace v tomto rozhodnutí o ceně)</w:t>
      </w:r>
      <w:r w:rsidR="003B7443" w:rsidRPr="001E6339">
        <w:rPr>
          <w:rFonts w:cs="Arial"/>
          <w:color w:val="000000"/>
        </w:rPr>
        <w:t>, tak stanovení přiměřených, spravedlivých a nediskriminačních cen na základě komerčního vyjednávání dotčených stran, či na základě ekonomicky oprávněných nákladů při rozhodování sporů Úřadem (viz § 17 odst. 3 ZOSN). Cíle, kterého tak mělo být dosaženo návrhem, resp. uložením cenové regulace na přístup k pasivní infrastruktuře na základě výsledků analýzy relevantního trhu č. A/3a/07.2017-3,</w:t>
      </w:r>
      <w:r w:rsidR="003B7443" w:rsidRPr="001E6339">
        <w:rPr>
          <w:rFonts w:cs="Arial"/>
        </w:rPr>
        <w:t xml:space="preserve"> bude dosaženo prostřednictvím implementace ZOSN a regulační činnost správního orgánu v této věci tak pozbývá smysl.</w:t>
      </w:r>
    </w:p>
    <w:p w:rsidR="000F73F5" w:rsidRPr="001E6339" w:rsidRDefault="000F73F5" w:rsidP="00287DAB">
      <w:pPr>
        <w:keepNext/>
        <w:spacing w:before="240" w:after="120"/>
        <w:ind w:firstLine="709"/>
        <w:jc w:val="both"/>
        <w:outlineLvl w:val="0"/>
        <w:rPr>
          <w:rFonts w:cs="Arial"/>
        </w:rPr>
      </w:pPr>
      <w:r w:rsidRPr="001E6339">
        <w:rPr>
          <w:rFonts w:cs="Arial"/>
        </w:rPr>
        <w:lastRenderedPageBreak/>
        <w:t>K části II. výroku</w:t>
      </w:r>
    </w:p>
    <w:p w:rsidR="00981971" w:rsidRPr="001E6339" w:rsidRDefault="00981971" w:rsidP="00C32177">
      <w:pPr>
        <w:spacing w:after="120"/>
        <w:ind w:firstLine="709"/>
        <w:jc w:val="both"/>
      </w:pPr>
      <w:r w:rsidRPr="001E6339">
        <w:t>Povinnost uplatňovat ceny podle bod</w:t>
      </w:r>
      <w:r w:rsidR="004A1B4C" w:rsidRPr="001E6339">
        <w:t>u</w:t>
      </w:r>
      <w:r w:rsidR="00A34A09" w:rsidRPr="001E6339">
        <w:t xml:space="preserve"> (1)</w:t>
      </w:r>
      <w:r w:rsidRPr="001E6339">
        <w:t xml:space="preserve"> části I. výroku tohoto rozhodnutí </w:t>
      </w:r>
      <w:r w:rsidR="00C43ECD" w:rsidRPr="001E6339">
        <w:t>nejpozději od prvního dne třetího měsíce následujícího po měsíci, v němž došlo k nabytí právní moci tohoto rozhodnutí, byla u stávajících smluvních vztahů stanovena s ohledem na lhůty potřebné ke sjednání změny a k provedení administrativních procesů souvisejících se změnou příslušných velkoobchodních (přístupových) smluv.</w:t>
      </w:r>
    </w:p>
    <w:p w:rsidR="00D166CE" w:rsidRPr="001E6339" w:rsidRDefault="00D166CE" w:rsidP="00C32177">
      <w:pPr>
        <w:spacing w:after="120"/>
        <w:ind w:firstLine="709"/>
        <w:jc w:val="both"/>
      </w:pPr>
      <w:r w:rsidRPr="001E6339">
        <w:t>Pro povinnost vyplývající účastníkovi řízení z bodu (2) části I. výroku tohoto rozhodnutí, tedy pro stanovení, sjednání a uplatňování regulované ceny za přístup k nenasvícenému vláknu, pak správní orgán určil účastníkovi řízení stejnou lhůtu. Účastník řízení je z předchozí spolupráce s Úřadem na aktualizaci předmětného nákladového modelu velkoobchodního (fyzického) přístupu k infrastruktuře sítě s tímto modelem dobře obeznámen a k naplnění tohoto modelu, stanovení ceny a její následné aplikaci by tak daná lhůta minimálně dvou měsíců následujících po nabytí právní moci tohoto rozhodnutí měla postačovat.</w:t>
      </w:r>
    </w:p>
    <w:p w:rsidR="00D166CE" w:rsidRPr="001E6339" w:rsidRDefault="00D166CE" w:rsidP="00C32177">
      <w:pPr>
        <w:spacing w:after="120"/>
        <w:ind w:firstLine="709"/>
        <w:jc w:val="both"/>
      </w:pPr>
      <w:r w:rsidRPr="001E6339">
        <w:t>Protože nabytím právní moci tohoto rozhodnutí o ceně pozbývá vykonatelnosti a jiných právních účinků předchozí rozhodnutí o ceně č. CEN/4/08.2015-4</w:t>
      </w:r>
      <w:r w:rsidR="00D669E8" w:rsidRPr="001E6339">
        <w:t>, které mimo jiné ukládalo i </w:t>
      </w:r>
      <w:r w:rsidRPr="001E6339">
        <w:t>povinnost nákladové orientace na službu přístupu k nenasvíceným optickým vláknům, byla by předmětná služba do doby implementace povinností vypl</w:t>
      </w:r>
      <w:r w:rsidR="00D669E8" w:rsidRPr="001E6339">
        <w:t>ývajících z tohoto rozhodnutí o </w:t>
      </w:r>
      <w:r w:rsidRPr="001E6339">
        <w:t>ceně ponechána bez cenové regulace</w:t>
      </w:r>
      <w:r w:rsidR="009C2724" w:rsidRPr="001E6339">
        <w:t>. Pro zamezení možnosti uplatňování nepřiměřeně vysokých cen za tuto službu ze strany účastníka řízení, uložil mu v bodě (4) části II. výroku tohoto rozhodnutí povinnost</w:t>
      </w:r>
      <w:r w:rsidR="000C1898" w:rsidRPr="001E6339">
        <w:t xml:space="preserve"> uplatňovat do doby stanovení nové nákladově orientované ceny za přístup k nenasvícenému vláknu maximálně takovou cenu, kterou uplatňuje ke dni nabytí právní moci tohoto rozhodnutí a která by tak měla být stanovena v souladu s dosud uplatňovanou regulací.</w:t>
      </w:r>
    </w:p>
    <w:p w:rsidR="0074744A" w:rsidRPr="001E6339" w:rsidRDefault="0074744A" w:rsidP="00C32177">
      <w:pPr>
        <w:spacing w:after="120"/>
        <w:ind w:firstLine="709"/>
        <w:jc w:val="both"/>
      </w:pPr>
      <w:r w:rsidRPr="001E6339">
        <w:rPr>
          <w:rFonts w:cs="Arial"/>
        </w:rPr>
        <w:t>Účastník řízení je dále povinen doložit správnímu orgánu způsob stanovení nákladově orientované ceny za přístup k nenasvícenému vláknu, a to předložením vyplněného nákladového modelu</w:t>
      </w:r>
      <w:r w:rsidRPr="001E6339">
        <w:t xml:space="preserve"> velkoobchodního (fyzického) přístupu k infrastruktuře sítě, ve kterém budou patrné jak nákladové vstupy, kalkulační postup, tak i výsledná cena. Tento model účastník řízení správnímu orgánu předloží ke stejnému dni, od kterého začne nově vypočtené a sjednané ceny uplatňovat, tj. nejpozději prvního dne třetího měsíce následujícího po měsíci, ve kterém </w:t>
      </w:r>
      <w:r w:rsidRPr="001E6339">
        <w:rPr>
          <w:rFonts w:cs="Arial"/>
        </w:rPr>
        <w:t>došlo k nabytí právní moci tohoto rozhodnutí.</w:t>
      </w:r>
    </w:p>
    <w:p w:rsidR="000C5F18" w:rsidRPr="001E6339" w:rsidRDefault="000C5F18" w:rsidP="00C32177">
      <w:pPr>
        <w:spacing w:before="240" w:after="120"/>
        <w:ind w:firstLine="709"/>
        <w:jc w:val="both"/>
        <w:outlineLvl w:val="0"/>
        <w:rPr>
          <w:rFonts w:cs="Arial"/>
        </w:rPr>
      </w:pPr>
      <w:r w:rsidRPr="001E6339">
        <w:rPr>
          <w:rFonts w:cs="Arial"/>
        </w:rPr>
        <w:t>K části III. výroku</w:t>
      </w:r>
    </w:p>
    <w:p w:rsidR="000C5F18" w:rsidRPr="001E6339" w:rsidRDefault="000C5F18" w:rsidP="00C32177">
      <w:pPr>
        <w:spacing w:after="120"/>
        <w:ind w:firstLine="709"/>
        <w:jc w:val="both"/>
      </w:pPr>
      <w:r w:rsidRPr="001E6339">
        <w:t>S ohledem na ustanovení § 101 písm. e) Správního řádu a § 51 odst. 5 a 8 Zákona vydal správní orgán nové rozhodnutí ve věci uložení povinnosti podniku s významnou tržní silou na předmětném relevantním trhu.</w:t>
      </w:r>
    </w:p>
    <w:p w:rsidR="00981971" w:rsidRPr="001E6339" w:rsidRDefault="000C5F18" w:rsidP="00C32177">
      <w:pPr>
        <w:ind w:firstLine="709"/>
        <w:jc w:val="both"/>
      </w:pPr>
      <w:r w:rsidRPr="001E6339">
        <w:t xml:space="preserve">Původní rozhodnutí č. </w:t>
      </w:r>
      <w:r w:rsidR="0047190E" w:rsidRPr="001E6339">
        <w:t>CEN/4/08.2015-4, čj. ČTÚ-1 849/2015-611 ze dne 7. srpna 2015</w:t>
      </w:r>
      <w:r w:rsidRPr="001E6339">
        <w:t>, kterými byly účastníku řízení uloženy povinnosti související s regulací cen, pozbývají podle § 102 odst. 9 Správního řádu vykonatelnosti a jiných právních účinků dnem nabytí právní moci tohoto rozhodnutí.</w:t>
      </w:r>
    </w:p>
    <w:p w:rsidR="00821210" w:rsidRPr="00035DDE" w:rsidRDefault="00821210" w:rsidP="00A27C6F">
      <w:pPr>
        <w:pStyle w:val="Zkladntext"/>
        <w:keepNext/>
        <w:spacing w:before="240" w:after="240"/>
        <w:jc w:val="center"/>
        <w:rPr>
          <w:sz w:val="22"/>
        </w:rPr>
      </w:pPr>
      <w:r w:rsidRPr="00035DDE">
        <w:rPr>
          <w:sz w:val="22"/>
        </w:rPr>
        <w:t>***</w:t>
      </w:r>
    </w:p>
    <w:p w:rsidR="00C70A39" w:rsidRPr="008617A4" w:rsidRDefault="003F1BEC" w:rsidP="008A0C24">
      <w:pPr>
        <w:spacing w:after="120"/>
        <w:ind w:firstLine="709"/>
        <w:jc w:val="both"/>
      </w:pPr>
      <w:r w:rsidRPr="008617A4">
        <w:t>S ohledem na uvedené bylo</w:t>
      </w:r>
      <w:r w:rsidR="006B66F5" w:rsidRPr="008617A4">
        <w:t xml:space="preserve"> dne</w:t>
      </w:r>
      <w:r w:rsidRPr="008617A4">
        <w:t xml:space="preserve"> </w:t>
      </w:r>
      <w:r w:rsidR="00CD2F9D" w:rsidRPr="008617A4">
        <w:t>8</w:t>
      </w:r>
      <w:r w:rsidR="007124A1" w:rsidRPr="008617A4">
        <w:t>.</w:t>
      </w:r>
      <w:r w:rsidR="000C5F18" w:rsidRPr="008617A4">
        <w:t xml:space="preserve"> </w:t>
      </w:r>
      <w:r w:rsidR="00CD2F13" w:rsidRPr="008617A4">
        <w:t xml:space="preserve">září </w:t>
      </w:r>
      <w:r w:rsidR="00F73675" w:rsidRPr="008617A4">
        <w:t>201</w:t>
      </w:r>
      <w:r w:rsidR="0047190E" w:rsidRPr="008617A4">
        <w:t>7</w:t>
      </w:r>
      <w:r w:rsidRPr="008617A4">
        <w:t xml:space="preserve"> s účastníkem řízení zahájeno správní řízení </w:t>
      </w:r>
      <w:r w:rsidR="00543CC2" w:rsidRPr="008617A4">
        <w:t xml:space="preserve">ve věci </w:t>
      </w:r>
      <w:r w:rsidR="00BA377F" w:rsidRPr="008617A4">
        <w:t>uložení</w:t>
      </w:r>
      <w:r w:rsidR="00543CC2" w:rsidRPr="008617A4">
        <w:t xml:space="preserve"> povinnosti </w:t>
      </w:r>
      <w:r w:rsidR="00870A71" w:rsidRPr="008617A4">
        <w:t>související s regulací cen podniku s významnou tržní silou.</w:t>
      </w:r>
      <w:r w:rsidR="004D7A46" w:rsidRPr="008617A4">
        <w:t xml:space="preserve"> </w:t>
      </w:r>
      <w:r w:rsidR="00C70A39" w:rsidRPr="008617A4">
        <w:t>Účastník řízení byl správním orgánem v zaslaném oznámení o zahájení správn</w:t>
      </w:r>
      <w:r w:rsidR="006E6444" w:rsidRPr="008617A4">
        <w:t>ího řízení vyzván k vyjádření a </w:t>
      </w:r>
      <w:r w:rsidR="00C70A39" w:rsidRPr="008617A4">
        <w:t>navržení důk</w:t>
      </w:r>
      <w:r w:rsidR="00543CC2" w:rsidRPr="008617A4">
        <w:t xml:space="preserve">azů a byla mu poskytnuta lhůta </w:t>
      </w:r>
      <w:r w:rsidR="00622C09" w:rsidRPr="008617A4">
        <w:t>14</w:t>
      </w:r>
      <w:r w:rsidR="00E50799" w:rsidRPr="008617A4">
        <w:t xml:space="preserve"> dnů ode dne doručení oznámení.</w:t>
      </w:r>
    </w:p>
    <w:p w:rsidR="0044416B" w:rsidRPr="00281E37" w:rsidRDefault="00CD2F9D" w:rsidP="007B28A7">
      <w:pPr>
        <w:spacing w:after="120"/>
        <w:ind w:firstLine="709"/>
        <w:jc w:val="both"/>
      </w:pPr>
      <w:r w:rsidRPr="00281E37">
        <w:t xml:space="preserve">Účastník řízení zaslal ve stanovené lhůtě k zahájenému správnímu řízení vyjádření dne </w:t>
      </w:r>
      <w:r w:rsidR="00602663" w:rsidRPr="00281E37">
        <w:t xml:space="preserve">21. září 2017. Ve vyjádření účastník řízení navrhl </w:t>
      </w:r>
      <w:r w:rsidR="00AE3E82" w:rsidRPr="00281E37">
        <w:t xml:space="preserve">spojit </w:t>
      </w:r>
      <w:r w:rsidR="00686208" w:rsidRPr="00281E37">
        <w:t>body (2</w:t>
      </w:r>
      <w:r w:rsidR="00731FCF" w:rsidRPr="00281E37">
        <w:t>) a (3) navrženého výroku a </w:t>
      </w:r>
      <w:r w:rsidR="00602663" w:rsidRPr="00281E37">
        <w:t xml:space="preserve">upravit bod (2) části I. výroku tohoto rozhodnutí, a to tak, aby byl vypuštěn text stanovující povinnost uplatnit cenu za přístup k nenasvícenému vláknu </w:t>
      </w:r>
      <w:r w:rsidR="00602663" w:rsidRPr="00281E37">
        <w:rPr>
          <w:b/>
        </w:rPr>
        <w:t>ve struktuře a měrných jednotkách</w:t>
      </w:r>
      <w:r w:rsidR="00602663" w:rsidRPr="00281E37">
        <w:t xml:space="preserve"> uvedených v nákladovém modelu velkoobchodního (fyzického) přístupu </w:t>
      </w:r>
      <w:r w:rsidR="00602663" w:rsidRPr="00281E37">
        <w:lastRenderedPageBreak/>
        <w:t>k infrastruktuře sítě. Dle účastníka řízení byla část textu zmiňující strukturu a měrné jednotky nadbytečná, neboť již v současnosti a bez takto specificky uložené povinnosti nabídka účastníka řízení na Pronájem pasivní infrastruktury uvádí ceny za pronájem nenasvíceného vlákna v metrech za měsíc a jednorázové ceny za položku. Jedná se o sektorový standard</w:t>
      </w:r>
      <w:r w:rsidR="00E0349E" w:rsidRPr="00281E37">
        <w:t>,</w:t>
      </w:r>
      <w:r w:rsidR="00731FCF" w:rsidRPr="00281E37">
        <w:t xml:space="preserve"> a </w:t>
      </w:r>
      <w:r w:rsidR="00602663" w:rsidRPr="00281E37">
        <w:t>navíc analýza trhu nikde neshledala jako potenciální tržní problém účtování položek v nestandardních měrných jednotkách.</w:t>
      </w:r>
      <w:r w:rsidR="00E0349E" w:rsidRPr="00281E37">
        <w:t xml:space="preserve"> Dále účastník řízení požadoval jedinečnou identifikaci souboru s nákladovým modelem velkoobchodního (fyzického) přístupu k infrastruktuře sítě</w:t>
      </w:r>
      <w:r w:rsidR="007B28A7" w:rsidRPr="00281E37">
        <w:t xml:space="preserve"> uvedením adresy umístění modelu na webových </w:t>
      </w:r>
      <w:r w:rsidR="00731FCF" w:rsidRPr="00281E37">
        <w:t>Úřadu a uvedením možnosti</w:t>
      </w:r>
      <w:r w:rsidR="007B28A7" w:rsidRPr="00281E37">
        <w:t xml:space="preserve"> převzetí příslušného modelu na </w:t>
      </w:r>
      <w:r w:rsidR="00731FCF" w:rsidRPr="00281E37">
        <w:t>Ú</w:t>
      </w:r>
      <w:r w:rsidR="007B28A7" w:rsidRPr="00281E37">
        <w:t>řadě</w:t>
      </w:r>
      <w:r w:rsidR="00E0349E" w:rsidRPr="00281E37">
        <w:t>. Poslední věcnou připomínkou účastníka řízení byl požadavek na</w:t>
      </w:r>
      <w:r w:rsidR="0044416B" w:rsidRPr="00281E37">
        <w:t xml:space="preserve"> </w:t>
      </w:r>
      <w:r w:rsidR="00E0349E" w:rsidRPr="00281E37">
        <w:t>specifikaci vstupů do nákladového modelu velkoobchodního (fyzického) přístupu</w:t>
      </w:r>
      <w:r w:rsidR="0044416B" w:rsidRPr="00281E37">
        <w:t xml:space="preserve">, </w:t>
      </w:r>
      <w:r w:rsidR="007B28A7" w:rsidRPr="00281E37">
        <w:t>tak aby bylo jasné, že se jedná o vstupy za poslední účetně uzavřený rok včetn</w:t>
      </w:r>
      <w:r w:rsidR="00731FCF" w:rsidRPr="00281E37">
        <w:t>ě auditu výsledků a </w:t>
      </w:r>
      <w:r w:rsidR="007B28A7" w:rsidRPr="00281E37">
        <w:t>předložení oddělené evidence nákladů a výnosů.</w:t>
      </w:r>
    </w:p>
    <w:p w:rsidR="00543CC2" w:rsidRPr="001E6339" w:rsidRDefault="0044416B" w:rsidP="008617A4">
      <w:pPr>
        <w:spacing w:after="120"/>
        <w:ind w:firstLine="709"/>
        <w:jc w:val="both"/>
        <w:rPr>
          <w:i/>
        </w:rPr>
      </w:pPr>
      <w:r w:rsidRPr="00281E37">
        <w:t>Správní orgán</w:t>
      </w:r>
      <w:r w:rsidR="00035DDE" w:rsidRPr="00281E37">
        <w:t xml:space="preserve"> se s argumenty</w:t>
      </w:r>
      <w:r w:rsidRPr="00281E37">
        <w:t xml:space="preserve"> účastníka řízení</w:t>
      </w:r>
      <w:r w:rsidR="00035DDE" w:rsidRPr="00281E37">
        <w:t xml:space="preserve"> ztotožnil</w:t>
      </w:r>
      <w:r w:rsidRPr="00281E37">
        <w:t xml:space="preserve"> a část I. výroku tohoto rozhodnutí v duchu těchto připomínek upravil.</w:t>
      </w:r>
      <w:r w:rsidR="00035DDE" w:rsidRPr="00281E37">
        <w:t xml:space="preserve"> Správní orgán tedy konkrétně vypustil v bodě (2) části I. výroku tohoto rozhodnutí část textu zmiňující strukturu a měrné jednotky nákladového modelu velkoobchodního (fyzického) přístupu k infrastruktuře sítě</w:t>
      </w:r>
      <w:r w:rsidR="00E9055E" w:rsidRPr="00281E37">
        <w:t>, která vzhledem k již zavedenému standardu byla nadbytečná. Dále správní orgán jednoznačně identifikoval soubor s nákladovým modelem velkoobchodního (fyzického) přístupu k infrastruktuře sítě, a to jednak uvedením jeho webové adresy platné ke dni nabytí právní moci tohoto rozhodnutí, a především doplněním odůvodnění o informaci, že tento soubor je součástí správního spisu, do kterého může účastník řízení nahlížet a pořídit si kopii. Konečně správní orgán v bodě (2) části I. výroku tohoto rozhodnutí také upřesnil, že vstupy do zmíněného nákladového modelu vychází z poslední ověřené účetní uzávěrky a oddělené evidence nákladů a výnosů.</w:t>
      </w:r>
    </w:p>
    <w:p w:rsidR="00543CC2" w:rsidRPr="001E6339" w:rsidRDefault="00543CC2" w:rsidP="00A27C6F">
      <w:pPr>
        <w:spacing w:before="240" w:after="240"/>
        <w:jc w:val="center"/>
        <w:rPr>
          <w:i/>
        </w:rPr>
      </w:pPr>
      <w:r w:rsidRPr="001E6339">
        <w:rPr>
          <w:i/>
        </w:rPr>
        <w:t>***</w:t>
      </w:r>
    </w:p>
    <w:p w:rsidR="00EB0E83" w:rsidRPr="001E6339" w:rsidRDefault="001029BD" w:rsidP="000C5F18">
      <w:pPr>
        <w:spacing w:after="120"/>
        <w:jc w:val="both"/>
        <w:rPr>
          <w:i/>
        </w:rPr>
      </w:pPr>
      <w:r w:rsidRPr="001E6339">
        <w:rPr>
          <w:rFonts w:cs="Arial"/>
          <w:i/>
        </w:rPr>
        <w:tab/>
      </w:r>
      <w:r w:rsidRPr="001E6339">
        <w:rPr>
          <w:i/>
        </w:rPr>
        <w:t>Na základě § 130 Zákona a podle Pravidel Českého telekomunikačního úřadu pro vedení konzultací s dotčenými subjekty na diskusním místě</w:t>
      </w:r>
      <w:r w:rsidR="00B538E7" w:rsidRPr="001E6339">
        <w:rPr>
          <w:i/>
        </w:rPr>
        <w:t xml:space="preserve"> zveřejnil návrh rozhodnutí</w:t>
      </w:r>
      <w:r w:rsidRPr="001E6339">
        <w:rPr>
          <w:i/>
        </w:rPr>
        <w:t xml:space="preserve"> včetně výzvy k uplatnění připomínek na </w:t>
      </w:r>
      <w:r w:rsidR="00585B0C" w:rsidRPr="001E6339">
        <w:rPr>
          <w:i/>
        </w:rPr>
        <w:t>diskusním místě dne</w:t>
      </w:r>
      <w:r w:rsidR="00896535" w:rsidRPr="001E6339">
        <w:rPr>
          <w:i/>
        </w:rPr>
        <w:t xml:space="preserve"> </w:t>
      </w:r>
      <w:r w:rsidR="00BA377F" w:rsidRPr="001E6339">
        <w:rPr>
          <w:i/>
        </w:rPr>
        <w:t>XX</w:t>
      </w:r>
      <w:r w:rsidR="007C064C" w:rsidRPr="001E6339">
        <w:rPr>
          <w:i/>
        </w:rPr>
        <w:t xml:space="preserve">. </w:t>
      </w:r>
      <w:r w:rsidR="000C5F18" w:rsidRPr="001E6339">
        <w:rPr>
          <w:i/>
        </w:rPr>
        <w:t>XXXX</w:t>
      </w:r>
      <w:r w:rsidR="00041F07" w:rsidRPr="001E6339">
        <w:rPr>
          <w:i/>
        </w:rPr>
        <w:t xml:space="preserve"> </w:t>
      </w:r>
      <w:r w:rsidR="00F73675" w:rsidRPr="001E6339">
        <w:rPr>
          <w:i/>
        </w:rPr>
        <w:t>201</w:t>
      </w:r>
      <w:r w:rsidR="00012AFF" w:rsidRPr="001E6339">
        <w:rPr>
          <w:i/>
        </w:rPr>
        <w:t>7</w:t>
      </w:r>
      <w:r w:rsidR="00F73675" w:rsidRPr="001E6339">
        <w:rPr>
          <w:i/>
        </w:rPr>
        <w:t>.</w:t>
      </w:r>
      <w:r w:rsidRPr="001E6339">
        <w:rPr>
          <w:i/>
        </w:rPr>
        <w:t xml:space="preserve"> Připomínky k návrhu rozhodnutí </w:t>
      </w:r>
      <w:r w:rsidR="00585B0C" w:rsidRPr="001E6339">
        <w:rPr>
          <w:i/>
        </w:rPr>
        <w:t xml:space="preserve">bylo možno uplatnit do </w:t>
      </w:r>
      <w:r w:rsidR="00BA377F" w:rsidRPr="001E6339">
        <w:rPr>
          <w:i/>
        </w:rPr>
        <w:t>XX</w:t>
      </w:r>
      <w:r w:rsidR="007C064C" w:rsidRPr="001E6339">
        <w:rPr>
          <w:i/>
        </w:rPr>
        <w:t xml:space="preserve">. </w:t>
      </w:r>
      <w:r w:rsidR="000C5F18" w:rsidRPr="001E6339">
        <w:rPr>
          <w:i/>
        </w:rPr>
        <w:t>XXXX</w:t>
      </w:r>
      <w:r w:rsidR="00041F07" w:rsidRPr="001E6339">
        <w:rPr>
          <w:i/>
        </w:rPr>
        <w:t xml:space="preserve"> </w:t>
      </w:r>
      <w:r w:rsidR="00F73675" w:rsidRPr="001E6339">
        <w:rPr>
          <w:i/>
        </w:rPr>
        <w:t>201</w:t>
      </w:r>
      <w:r w:rsidR="00012AFF" w:rsidRPr="001E6339">
        <w:rPr>
          <w:i/>
        </w:rPr>
        <w:t>7</w:t>
      </w:r>
      <w:r w:rsidR="00615A23" w:rsidRPr="001E6339">
        <w:rPr>
          <w:i/>
        </w:rPr>
        <w:t xml:space="preserve">. </w:t>
      </w:r>
      <w:r w:rsidR="003940F8" w:rsidRPr="001E6339">
        <w:rPr>
          <w:i/>
        </w:rPr>
        <w:t>V této lhůtě</w:t>
      </w:r>
      <w:r w:rsidR="00896535" w:rsidRPr="001E6339">
        <w:rPr>
          <w:i/>
        </w:rPr>
        <w:t xml:space="preserve"> uplatnil</w:t>
      </w:r>
      <w:r w:rsidR="00BA377F" w:rsidRPr="001E6339">
        <w:rPr>
          <w:i/>
        </w:rPr>
        <w:t>i</w:t>
      </w:r>
      <w:r w:rsidR="00896535" w:rsidRPr="001E6339">
        <w:rPr>
          <w:i/>
        </w:rPr>
        <w:t xml:space="preserve"> </w:t>
      </w:r>
      <w:r w:rsidR="0023281E" w:rsidRPr="001E6339">
        <w:rPr>
          <w:i/>
        </w:rPr>
        <w:t>připomínk</w:t>
      </w:r>
      <w:r w:rsidR="00870A71" w:rsidRPr="001E6339">
        <w:rPr>
          <w:i/>
        </w:rPr>
        <w:t xml:space="preserve">y XX dotčené subjekty. </w:t>
      </w:r>
    </w:p>
    <w:p w:rsidR="002616DF" w:rsidRPr="001E6339" w:rsidRDefault="00F261D1" w:rsidP="008D4C4A">
      <w:pPr>
        <w:spacing w:beforeLines="100" w:before="240" w:after="80"/>
        <w:ind w:firstLine="709"/>
        <w:jc w:val="both"/>
        <w:rPr>
          <w:i/>
        </w:rPr>
      </w:pPr>
      <w:r w:rsidRPr="001E6339">
        <w:rPr>
          <w:i/>
        </w:rPr>
        <w:t xml:space="preserve">Vypořádání připomínek </w:t>
      </w:r>
      <w:r w:rsidR="00F038F8" w:rsidRPr="001E6339">
        <w:rPr>
          <w:i/>
        </w:rPr>
        <w:t>zveřejnil</w:t>
      </w:r>
      <w:r w:rsidRPr="001E6339">
        <w:rPr>
          <w:i/>
        </w:rPr>
        <w:t xml:space="preserve"> správní orgán na diskusním místě na svých internetových stránkách</w:t>
      </w:r>
      <w:r w:rsidR="00D24876" w:rsidRPr="001E6339">
        <w:rPr>
          <w:i/>
        </w:rPr>
        <w:t xml:space="preserve"> dne </w:t>
      </w:r>
      <w:r w:rsidR="00DC2F31" w:rsidRPr="001E6339">
        <w:rPr>
          <w:i/>
        </w:rPr>
        <w:t>XX</w:t>
      </w:r>
      <w:r w:rsidR="007C064C" w:rsidRPr="001E6339">
        <w:rPr>
          <w:i/>
        </w:rPr>
        <w:t xml:space="preserve">. </w:t>
      </w:r>
      <w:r w:rsidR="000C5F18" w:rsidRPr="001E6339">
        <w:rPr>
          <w:i/>
        </w:rPr>
        <w:t>XXXX</w:t>
      </w:r>
      <w:r w:rsidR="00041F07" w:rsidRPr="001E6339">
        <w:rPr>
          <w:i/>
        </w:rPr>
        <w:t xml:space="preserve"> </w:t>
      </w:r>
      <w:r w:rsidR="00F73675" w:rsidRPr="001E6339">
        <w:rPr>
          <w:i/>
        </w:rPr>
        <w:t>201</w:t>
      </w:r>
      <w:r w:rsidR="00012AFF" w:rsidRPr="001E6339">
        <w:rPr>
          <w:i/>
        </w:rPr>
        <w:t>7</w:t>
      </w:r>
      <w:r w:rsidR="00E50799" w:rsidRPr="001E6339">
        <w:rPr>
          <w:i/>
        </w:rPr>
        <w:t>.</w:t>
      </w:r>
    </w:p>
    <w:p w:rsidR="004D3D3F" w:rsidRPr="001E6339" w:rsidRDefault="004D3D3F" w:rsidP="00A27C6F">
      <w:pPr>
        <w:spacing w:before="240" w:after="240"/>
        <w:jc w:val="center"/>
        <w:rPr>
          <w:i/>
        </w:rPr>
      </w:pPr>
      <w:r w:rsidRPr="001E6339">
        <w:rPr>
          <w:i/>
        </w:rPr>
        <w:t>***</w:t>
      </w:r>
    </w:p>
    <w:p w:rsidR="00D24876" w:rsidRPr="001E6339" w:rsidRDefault="00E201EB" w:rsidP="00A27C6F">
      <w:pPr>
        <w:spacing w:before="240"/>
        <w:ind w:firstLine="709"/>
        <w:jc w:val="both"/>
        <w:rPr>
          <w:i/>
        </w:rPr>
      </w:pPr>
      <w:r w:rsidRPr="001E6339">
        <w:rPr>
          <w:i/>
        </w:rPr>
        <w:t>Podle</w:t>
      </w:r>
      <w:r w:rsidR="00D24876" w:rsidRPr="001E6339">
        <w:rPr>
          <w:i/>
        </w:rPr>
        <w:t xml:space="preserve"> </w:t>
      </w:r>
      <w:r w:rsidR="00E02615" w:rsidRPr="001E6339">
        <w:rPr>
          <w:i/>
        </w:rPr>
        <w:t xml:space="preserve">§ 130 odst. 3 Zákona konzultoval správní orgán navrhované rozhodnutí rovněž s Úřadem pro ochranu hospodářské soutěže. Úřad pro ochranu hospodářské soutěže </w:t>
      </w:r>
      <w:r w:rsidR="00DC2F31" w:rsidRPr="001E6339">
        <w:rPr>
          <w:i/>
        </w:rPr>
        <w:t>uplatnil/</w:t>
      </w:r>
      <w:r w:rsidR="00E02615" w:rsidRPr="001E6339">
        <w:rPr>
          <w:i/>
        </w:rPr>
        <w:t xml:space="preserve">neuplatnil </w:t>
      </w:r>
      <w:r w:rsidR="00E35110" w:rsidRPr="001E6339">
        <w:rPr>
          <w:i/>
        </w:rPr>
        <w:t>ve svém vyjádření z</w:t>
      </w:r>
      <w:r w:rsidR="00CF685C" w:rsidRPr="001E6339">
        <w:rPr>
          <w:i/>
        </w:rPr>
        <w:t>e dne</w:t>
      </w:r>
      <w:r w:rsidR="00E35110" w:rsidRPr="001E6339">
        <w:rPr>
          <w:i/>
        </w:rPr>
        <w:t xml:space="preserve"> </w:t>
      </w:r>
      <w:r w:rsidR="00DC2F31" w:rsidRPr="001E6339">
        <w:rPr>
          <w:i/>
        </w:rPr>
        <w:t>XX</w:t>
      </w:r>
      <w:r w:rsidR="003F2447" w:rsidRPr="001E6339">
        <w:rPr>
          <w:i/>
        </w:rPr>
        <w:t>.</w:t>
      </w:r>
      <w:r w:rsidR="0097308C" w:rsidRPr="001E6339">
        <w:rPr>
          <w:i/>
        </w:rPr>
        <w:t xml:space="preserve"> </w:t>
      </w:r>
      <w:r w:rsidR="000C5F18" w:rsidRPr="001E6339">
        <w:rPr>
          <w:i/>
        </w:rPr>
        <w:t>XXXX</w:t>
      </w:r>
      <w:r w:rsidR="003F2447" w:rsidRPr="001E6339">
        <w:rPr>
          <w:i/>
        </w:rPr>
        <w:t xml:space="preserve"> </w:t>
      </w:r>
      <w:r w:rsidR="00F73675" w:rsidRPr="001E6339">
        <w:rPr>
          <w:i/>
        </w:rPr>
        <w:t>201</w:t>
      </w:r>
      <w:r w:rsidR="00012AFF" w:rsidRPr="001E6339">
        <w:rPr>
          <w:i/>
        </w:rPr>
        <w:t>7</w:t>
      </w:r>
      <w:r w:rsidR="00F73675" w:rsidRPr="001E6339">
        <w:rPr>
          <w:i/>
        </w:rPr>
        <w:t xml:space="preserve"> </w:t>
      </w:r>
      <w:r w:rsidR="003F2447" w:rsidRPr="001E6339">
        <w:rPr>
          <w:i/>
        </w:rPr>
        <w:t>žád</w:t>
      </w:r>
      <w:r w:rsidR="009958DA" w:rsidRPr="001E6339">
        <w:rPr>
          <w:i/>
        </w:rPr>
        <w:t>né</w:t>
      </w:r>
      <w:r w:rsidR="000C5F18" w:rsidRPr="001E6339">
        <w:rPr>
          <w:i/>
        </w:rPr>
        <w:t>/následující</w:t>
      </w:r>
      <w:r w:rsidR="00E02615" w:rsidRPr="001E6339">
        <w:rPr>
          <w:i/>
        </w:rPr>
        <w:t xml:space="preserve"> připomínky.</w:t>
      </w:r>
    </w:p>
    <w:p w:rsidR="00615A23" w:rsidRPr="001E6339" w:rsidRDefault="00615A23" w:rsidP="00A27C6F">
      <w:pPr>
        <w:spacing w:before="240" w:after="240"/>
        <w:jc w:val="center"/>
        <w:rPr>
          <w:rFonts w:cs="Arial"/>
          <w:i/>
        </w:rPr>
      </w:pPr>
      <w:r w:rsidRPr="001E6339">
        <w:rPr>
          <w:rFonts w:cs="Arial"/>
          <w:i/>
        </w:rPr>
        <w:t>***</w:t>
      </w:r>
    </w:p>
    <w:p w:rsidR="00615A23" w:rsidRPr="001E6339" w:rsidRDefault="004D3D3F" w:rsidP="00A27C6F">
      <w:pPr>
        <w:spacing w:before="240"/>
        <w:ind w:firstLine="709"/>
        <w:jc w:val="both"/>
        <w:rPr>
          <w:i/>
        </w:rPr>
      </w:pPr>
      <w:r w:rsidRPr="001E6339">
        <w:rPr>
          <w:i/>
        </w:rPr>
        <w:t xml:space="preserve">Správní orgán podle § 131 Zákona konzultoval návrh rozhodnutí s Evropskou komisí. Evropská komise dopisem ze dne </w:t>
      </w:r>
      <w:r w:rsidR="00A32EE9" w:rsidRPr="001E6339">
        <w:rPr>
          <w:i/>
        </w:rPr>
        <w:t>XX</w:t>
      </w:r>
      <w:r w:rsidRPr="001E6339">
        <w:rPr>
          <w:i/>
        </w:rPr>
        <w:t xml:space="preserve">. </w:t>
      </w:r>
      <w:r w:rsidR="00CD12CF" w:rsidRPr="001E6339">
        <w:rPr>
          <w:i/>
        </w:rPr>
        <w:t>XXXX</w:t>
      </w:r>
      <w:r w:rsidR="0074479E" w:rsidRPr="001E6339">
        <w:rPr>
          <w:i/>
        </w:rPr>
        <w:t xml:space="preserve"> </w:t>
      </w:r>
      <w:r w:rsidR="00F73675" w:rsidRPr="001E6339">
        <w:rPr>
          <w:i/>
        </w:rPr>
        <w:t>201</w:t>
      </w:r>
      <w:r w:rsidR="00012AFF" w:rsidRPr="001E6339">
        <w:rPr>
          <w:i/>
        </w:rPr>
        <w:t>7</w:t>
      </w:r>
      <w:r w:rsidR="00CD12CF" w:rsidRPr="001E6339">
        <w:rPr>
          <w:i/>
        </w:rPr>
        <w:t xml:space="preserve"> uvedla, že k návrhu rozhodnutí ne/má připomínky.</w:t>
      </w:r>
    </w:p>
    <w:p w:rsidR="00E201EB" w:rsidRPr="001E6339" w:rsidRDefault="00E201EB" w:rsidP="00A27C6F">
      <w:pPr>
        <w:spacing w:before="240" w:after="240"/>
        <w:jc w:val="center"/>
        <w:rPr>
          <w:rFonts w:cs="Arial"/>
          <w:i/>
        </w:rPr>
      </w:pPr>
      <w:r w:rsidRPr="001E6339">
        <w:rPr>
          <w:rFonts w:cs="Arial"/>
          <w:i/>
        </w:rPr>
        <w:t>***</w:t>
      </w:r>
    </w:p>
    <w:p w:rsidR="00906892" w:rsidRPr="001E6339" w:rsidRDefault="000C5F18" w:rsidP="00A27C6F">
      <w:pPr>
        <w:spacing w:before="240"/>
        <w:jc w:val="both"/>
        <w:rPr>
          <w:rFonts w:cs="Arial"/>
          <w:i/>
        </w:rPr>
      </w:pPr>
      <w:r w:rsidRPr="001E6339">
        <w:rPr>
          <w:rFonts w:cs="Arial"/>
          <w:i/>
        </w:rPr>
        <w:tab/>
      </w:r>
      <w:r w:rsidR="004D3D3F" w:rsidRPr="001E6339">
        <w:rPr>
          <w:rFonts w:cs="Arial"/>
          <w:i/>
        </w:rPr>
        <w:t>Účastníku řízení byla dána možnost, aby se vyjádřil k podkladům rozhodnutí a navrhl případné doplnění. Účastník řízení nahlédl do spisu</w:t>
      </w:r>
      <w:r w:rsidR="00CD12CF" w:rsidRPr="001E6339">
        <w:rPr>
          <w:rFonts w:cs="Arial"/>
          <w:i/>
        </w:rPr>
        <w:t xml:space="preserve"> před vydáním rozhodnutí dne</w:t>
      </w:r>
      <w:r w:rsidR="004D3D3F" w:rsidRPr="001E6339">
        <w:rPr>
          <w:rFonts w:cs="Arial"/>
          <w:i/>
        </w:rPr>
        <w:t xml:space="preserve"> </w:t>
      </w:r>
      <w:r w:rsidR="00A32EE9" w:rsidRPr="001E6339">
        <w:rPr>
          <w:rFonts w:cs="Arial"/>
          <w:i/>
        </w:rPr>
        <w:t>XX</w:t>
      </w:r>
      <w:r w:rsidR="004D3D3F" w:rsidRPr="001E6339">
        <w:rPr>
          <w:rFonts w:cs="Arial"/>
          <w:i/>
        </w:rPr>
        <w:t xml:space="preserve">. </w:t>
      </w:r>
      <w:r w:rsidR="00CD12CF" w:rsidRPr="001E6339">
        <w:rPr>
          <w:rFonts w:cs="Arial"/>
          <w:i/>
        </w:rPr>
        <w:t>XXXX</w:t>
      </w:r>
      <w:r w:rsidR="00F73675" w:rsidRPr="001E6339">
        <w:rPr>
          <w:rFonts w:cs="Arial"/>
          <w:i/>
        </w:rPr>
        <w:t xml:space="preserve"> 201</w:t>
      </w:r>
      <w:r w:rsidR="00D669E8" w:rsidRPr="001E6339">
        <w:rPr>
          <w:rFonts w:cs="Arial"/>
          <w:i/>
        </w:rPr>
        <w:t>8</w:t>
      </w:r>
      <w:r w:rsidR="00CD12CF" w:rsidRPr="001E6339">
        <w:rPr>
          <w:rFonts w:cs="Arial"/>
          <w:i/>
        </w:rPr>
        <w:t xml:space="preserve"> a ne/měl žádné/následující připomínky.</w:t>
      </w:r>
    </w:p>
    <w:p w:rsidR="003F1BEC" w:rsidRPr="001E6339" w:rsidRDefault="003F1BEC" w:rsidP="00A27C6F">
      <w:pPr>
        <w:spacing w:before="480" w:after="240"/>
        <w:jc w:val="center"/>
        <w:outlineLvl w:val="0"/>
        <w:rPr>
          <w:b/>
        </w:rPr>
      </w:pPr>
      <w:r w:rsidRPr="001E6339">
        <w:rPr>
          <w:b/>
        </w:rPr>
        <w:lastRenderedPageBreak/>
        <w:t>Poučení:</w:t>
      </w:r>
    </w:p>
    <w:p w:rsidR="0050174C" w:rsidRPr="001E6339" w:rsidRDefault="003F1BEC" w:rsidP="00A27C6F">
      <w:pPr>
        <w:pStyle w:val="Zkladntextodsazen"/>
        <w:spacing w:after="1440"/>
        <w:ind w:firstLine="709"/>
        <w:jc w:val="both"/>
        <w:outlineLvl w:val="0"/>
        <w:rPr>
          <w:sz w:val="22"/>
        </w:rPr>
      </w:pPr>
      <w:r w:rsidRPr="001E6339">
        <w:rPr>
          <w:sz w:val="22"/>
        </w:rPr>
        <w:t>Proti tomuto rozhodnutí není přípustný opravný prostředek.</w:t>
      </w:r>
    </w:p>
    <w:p w:rsidR="0074479E" w:rsidRPr="00A32EE9" w:rsidRDefault="00615A23" w:rsidP="000C5F18">
      <w:pPr>
        <w:pStyle w:val="Zkladntextodsazen"/>
        <w:ind w:left="4253" w:firstLine="1"/>
        <w:jc w:val="center"/>
        <w:rPr>
          <w:sz w:val="22"/>
        </w:rPr>
      </w:pPr>
      <w:r w:rsidRPr="001E6339">
        <w:rPr>
          <w:sz w:val="22"/>
        </w:rPr>
        <w:t>Za Radu Českého telekomunikačního úřadu:</w:t>
      </w:r>
    </w:p>
    <w:sectPr w:rsidR="0074479E" w:rsidRPr="00A32EE9" w:rsidSect="0097308C">
      <w:footerReference w:type="default" r:id="rId11"/>
      <w:type w:val="continuous"/>
      <w:pgSz w:w="11906" w:h="16838" w:code="9"/>
      <w:pgMar w:top="1418" w:right="1418" w:bottom="1418" w:left="1418" w:header="709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54" w:rsidRDefault="00243E54">
      <w:r>
        <w:separator/>
      </w:r>
    </w:p>
  </w:endnote>
  <w:endnote w:type="continuationSeparator" w:id="0">
    <w:p w:rsidR="00243E54" w:rsidRDefault="0024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C7" w:rsidRDefault="006B5BC7" w:rsidP="00281E37">
    <w:pPr>
      <w:pStyle w:val="Zpat"/>
      <w:tabs>
        <w:tab w:val="clear" w:pos="4536"/>
        <w:tab w:val="left" w:pos="142"/>
        <w:tab w:val="left" w:pos="240"/>
        <w:tab w:val="left" w:pos="284"/>
        <w:tab w:val="center" w:pos="4535"/>
      </w:tabs>
      <w:jc w:val="center"/>
      <w:rPr>
        <w:rStyle w:val="slostrnky"/>
        <w:sz w:val="18"/>
        <w:szCs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1E37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81E37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54" w:rsidRDefault="00243E54">
      <w:r>
        <w:separator/>
      </w:r>
    </w:p>
  </w:footnote>
  <w:footnote w:type="continuationSeparator" w:id="0">
    <w:p w:rsidR="00243E54" w:rsidRDefault="00243E54">
      <w:r>
        <w:continuationSeparator/>
      </w:r>
    </w:p>
  </w:footnote>
  <w:footnote w:id="1">
    <w:p w:rsidR="006B5BC7" w:rsidRPr="008617A4" w:rsidRDefault="006B5BC7" w:rsidP="008617A4">
      <w:pPr>
        <w:pStyle w:val="Textpoznpodarou"/>
        <w:jc w:val="both"/>
        <w:rPr>
          <w:sz w:val="18"/>
          <w:szCs w:val="18"/>
        </w:rPr>
      </w:pPr>
      <w:r w:rsidRPr="008617A4">
        <w:rPr>
          <w:rStyle w:val="Znakapoznpodarou"/>
          <w:sz w:val="18"/>
          <w:szCs w:val="18"/>
        </w:rPr>
        <w:footnoteRef/>
      </w:r>
      <w:r w:rsidRPr="008617A4">
        <w:rPr>
          <w:sz w:val="18"/>
          <w:szCs w:val="18"/>
        </w:rPr>
        <w:t xml:space="preserve"> </w:t>
      </w:r>
      <w:r w:rsidRPr="00DB0673">
        <w:rPr>
          <w:sz w:val="18"/>
          <w:szCs w:val="18"/>
        </w:rPr>
        <w:t xml:space="preserve">Nákladový model byl ke dni nabytí právní moci tohoto rozhodnutí umístěn na této webové adrese: </w:t>
      </w:r>
      <w:r w:rsidR="00E46A35" w:rsidRPr="00E46A35">
        <w:rPr>
          <w:sz w:val="18"/>
          <w:szCs w:val="18"/>
        </w:rPr>
        <w:t>https://www.ctu.cz/sites/default/files/cs/download/oop/oop_04/bbmodel_aktualizace_2016.zip</w:t>
      </w:r>
      <w:r w:rsidRPr="00DB0673">
        <w:rPr>
          <w:sz w:val="18"/>
          <w:szCs w:val="18"/>
        </w:rPr>
        <w:t>.</w:t>
      </w:r>
    </w:p>
  </w:footnote>
  <w:footnote w:id="2">
    <w:p w:rsidR="006B5BC7" w:rsidRPr="008617A4" w:rsidRDefault="006B5BC7" w:rsidP="008617A4">
      <w:pPr>
        <w:pStyle w:val="Textpoznpodarou"/>
        <w:jc w:val="both"/>
        <w:rPr>
          <w:sz w:val="18"/>
          <w:szCs w:val="18"/>
        </w:rPr>
      </w:pPr>
      <w:r w:rsidRPr="008617A4">
        <w:rPr>
          <w:rStyle w:val="Znakapoznpodarou"/>
          <w:sz w:val="18"/>
          <w:szCs w:val="18"/>
        </w:rPr>
        <w:footnoteRef/>
      </w:r>
      <w:r w:rsidRPr="008617A4">
        <w:rPr>
          <w:sz w:val="18"/>
          <w:szCs w:val="18"/>
        </w:rPr>
        <w:t xml:space="preserve"> </w:t>
      </w:r>
      <w:r w:rsidRPr="00DB0673">
        <w:rPr>
          <w:sz w:val="18"/>
          <w:szCs w:val="18"/>
        </w:rPr>
        <w:t xml:space="preserve">Nákladový model byl ke dni nabytí právní moci tohoto rozhodnutí umístěn na této webové adrese: </w:t>
      </w:r>
      <w:r w:rsidR="00570319" w:rsidRPr="00E46A35">
        <w:rPr>
          <w:sz w:val="18"/>
          <w:szCs w:val="18"/>
        </w:rPr>
        <w:t>https://www.ctu.cz/sites/default/files/cs/download/oop/oop_04/bbmodel_aktualizace_2016.zip</w:t>
      </w:r>
      <w:r w:rsidRPr="00DB067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7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F14E5"/>
    <w:multiLevelType w:val="singleLevel"/>
    <w:tmpl w:val="4B3A409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C71400"/>
    <w:multiLevelType w:val="hybridMultilevel"/>
    <w:tmpl w:val="448E7B14"/>
    <w:lvl w:ilvl="0" w:tplc="8E8AF06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4BE6152"/>
    <w:multiLevelType w:val="singleLevel"/>
    <w:tmpl w:val="F4169C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82B6545"/>
    <w:multiLevelType w:val="hybridMultilevel"/>
    <w:tmpl w:val="504E4856"/>
    <w:lvl w:ilvl="0" w:tplc="4D60E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27C3"/>
    <w:multiLevelType w:val="singleLevel"/>
    <w:tmpl w:val="D23825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6" w15:restartNumberingAfterBreak="0">
    <w:nsid w:val="1CB21D47"/>
    <w:multiLevelType w:val="multilevel"/>
    <w:tmpl w:val="08BED61A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."/>
      <w:lvlJc w:val="left"/>
      <w:pPr>
        <w:ind w:left="624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47A19CC"/>
    <w:multiLevelType w:val="singleLevel"/>
    <w:tmpl w:val="9BFA3ED8"/>
    <w:lvl w:ilvl="0">
      <w:start w:val="1"/>
      <w:numFmt w:val="decimal"/>
      <w:lvlText w:val="1.%1"/>
      <w:lvlJc w:val="center"/>
      <w:pPr>
        <w:tabs>
          <w:tab w:val="num" w:pos="786"/>
        </w:tabs>
        <w:ind w:left="138" w:firstLine="288"/>
      </w:pPr>
    </w:lvl>
  </w:abstractNum>
  <w:abstractNum w:abstractNumId="8" w15:restartNumberingAfterBreak="0">
    <w:nsid w:val="24E1030D"/>
    <w:multiLevelType w:val="multilevel"/>
    <w:tmpl w:val="48BA7444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."/>
      <w:lvlJc w:val="left"/>
      <w:pPr>
        <w:ind w:left="624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3777F0"/>
    <w:multiLevelType w:val="singleLevel"/>
    <w:tmpl w:val="F4169C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5FA12F1"/>
    <w:multiLevelType w:val="singleLevel"/>
    <w:tmpl w:val="D03AE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B16F61"/>
    <w:multiLevelType w:val="singleLevel"/>
    <w:tmpl w:val="7F42A754"/>
    <w:lvl w:ilvl="0">
      <w:start w:val="1"/>
      <w:numFmt w:val="decimal"/>
      <w:lvlText w:val="1.%1"/>
      <w:lvlJc w:val="center"/>
      <w:pPr>
        <w:tabs>
          <w:tab w:val="num" w:pos="648"/>
        </w:tabs>
        <w:ind w:left="0" w:firstLine="288"/>
      </w:pPr>
    </w:lvl>
  </w:abstractNum>
  <w:abstractNum w:abstractNumId="12" w15:restartNumberingAfterBreak="0">
    <w:nsid w:val="2A3167AF"/>
    <w:multiLevelType w:val="hybridMultilevel"/>
    <w:tmpl w:val="0F2ED6FC"/>
    <w:lvl w:ilvl="0" w:tplc="D89444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7025F"/>
    <w:multiLevelType w:val="singleLevel"/>
    <w:tmpl w:val="D4AEA8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D34842"/>
    <w:multiLevelType w:val="singleLevel"/>
    <w:tmpl w:val="BB60F4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4434D3"/>
    <w:multiLevelType w:val="multilevel"/>
    <w:tmpl w:val="F788E476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start w:val="1"/>
      <w:numFmt w:val="decimal"/>
      <w:pStyle w:val="Nadpis2"/>
      <w:suff w:val="space"/>
      <w:lvlText w:val="%1.%2."/>
      <w:lvlJc w:val="left"/>
      <w:pPr>
        <w:ind w:left="624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941AD4"/>
    <w:multiLevelType w:val="singleLevel"/>
    <w:tmpl w:val="3DB24BAC"/>
    <w:lvl w:ilvl="0">
      <w:start w:val="1"/>
      <w:numFmt w:val="decimal"/>
      <w:lvlText w:val="4.%1"/>
      <w:lvlJc w:val="center"/>
      <w:pPr>
        <w:tabs>
          <w:tab w:val="num" w:pos="648"/>
        </w:tabs>
        <w:ind w:left="0" w:firstLine="288"/>
      </w:pPr>
    </w:lvl>
  </w:abstractNum>
  <w:abstractNum w:abstractNumId="17" w15:restartNumberingAfterBreak="0">
    <w:nsid w:val="39F10376"/>
    <w:multiLevelType w:val="multilevel"/>
    <w:tmpl w:val="0BD2C62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135626"/>
    <w:multiLevelType w:val="singleLevel"/>
    <w:tmpl w:val="ED94F64C"/>
    <w:lvl w:ilvl="0">
      <w:start w:val="1"/>
      <w:numFmt w:val="decimal"/>
      <w:lvlText w:val="4.%1"/>
      <w:lvlJc w:val="center"/>
      <w:pPr>
        <w:tabs>
          <w:tab w:val="num" w:pos="786"/>
        </w:tabs>
        <w:ind w:left="138" w:firstLine="288"/>
      </w:pPr>
    </w:lvl>
  </w:abstractNum>
  <w:abstractNum w:abstractNumId="19" w15:restartNumberingAfterBreak="0">
    <w:nsid w:val="3F6D0873"/>
    <w:multiLevelType w:val="singleLevel"/>
    <w:tmpl w:val="213452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3FBE0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F43CE6"/>
    <w:multiLevelType w:val="singleLevel"/>
    <w:tmpl w:val="213452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47A958BD"/>
    <w:multiLevelType w:val="hybridMultilevel"/>
    <w:tmpl w:val="C486E410"/>
    <w:lvl w:ilvl="0" w:tplc="2410E0B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445129"/>
    <w:multiLevelType w:val="singleLevel"/>
    <w:tmpl w:val="910AB540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4F554111"/>
    <w:multiLevelType w:val="multilevel"/>
    <w:tmpl w:val="AA502A38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start w:val="2"/>
      <w:numFmt w:val="decimal"/>
      <w:suff w:val="space"/>
      <w:lvlText w:val="%1.%2."/>
      <w:lvlJc w:val="left"/>
      <w:pPr>
        <w:ind w:left="737" w:hanging="510"/>
      </w:pPr>
    </w:lvl>
    <w:lvl w:ilvl="2">
      <w:start w:val="1"/>
      <w:numFmt w:val="decimal"/>
      <w:suff w:val="space"/>
      <w:lvlText w:val="%1.%2.%3."/>
      <w:lvlJc w:val="left"/>
      <w:pPr>
        <w:ind w:left="1247" w:hanging="623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18D5600"/>
    <w:multiLevelType w:val="singleLevel"/>
    <w:tmpl w:val="2E6408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CC2D37"/>
    <w:multiLevelType w:val="singleLevel"/>
    <w:tmpl w:val="8D20930C"/>
    <w:lvl w:ilvl="0">
      <w:start w:val="1"/>
      <w:numFmt w:val="upperRoman"/>
      <w:pStyle w:val="Nadpis9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7" w15:restartNumberingAfterBreak="0">
    <w:nsid w:val="5A25092A"/>
    <w:multiLevelType w:val="hybridMultilevel"/>
    <w:tmpl w:val="62A02D78"/>
    <w:lvl w:ilvl="0" w:tplc="90FCB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AC21AA"/>
    <w:multiLevelType w:val="singleLevel"/>
    <w:tmpl w:val="7A4AF07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FFC1E31"/>
    <w:multiLevelType w:val="multilevel"/>
    <w:tmpl w:val="B7D4E72A"/>
    <w:lvl w:ilvl="0">
      <w:start w:val="1"/>
      <w:numFmt w:val="decimal"/>
      <w:pStyle w:val="Nadpis1"/>
      <w:suff w:val="space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."/>
      <w:lvlJc w:val="left"/>
      <w:pPr>
        <w:ind w:left="624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2CA2B23"/>
    <w:multiLevelType w:val="singleLevel"/>
    <w:tmpl w:val="B1A4643C"/>
    <w:lvl w:ilvl="0">
      <w:start w:val="1"/>
      <w:numFmt w:val="decimal"/>
      <w:lvlText w:val="2.%1"/>
      <w:lvlJc w:val="center"/>
      <w:pPr>
        <w:tabs>
          <w:tab w:val="num" w:pos="648"/>
        </w:tabs>
        <w:ind w:left="0" w:firstLine="288"/>
      </w:pPr>
    </w:lvl>
  </w:abstractNum>
  <w:abstractNum w:abstractNumId="31" w15:restartNumberingAfterBreak="0">
    <w:nsid w:val="6C596B5B"/>
    <w:multiLevelType w:val="singleLevel"/>
    <w:tmpl w:val="564E4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32" w15:restartNumberingAfterBreak="0">
    <w:nsid w:val="7406585E"/>
    <w:multiLevelType w:val="multilevel"/>
    <w:tmpl w:val="ABBCF6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%2.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247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9881D13"/>
    <w:multiLevelType w:val="singleLevel"/>
    <w:tmpl w:val="4B3A40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31054F"/>
    <w:multiLevelType w:val="singleLevel"/>
    <w:tmpl w:val="5A98EE66"/>
    <w:lvl w:ilvl="0">
      <w:start w:val="1"/>
      <w:numFmt w:val="decimal"/>
      <w:lvlText w:val="3.%1"/>
      <w:lvlJc w:val="center"/>
      <w:pPr>
        <w:tabs>
          <w:tab w:val="num" w:pos="648"/>
        </w:tabs>
        <w:ind w:left="0" w:firstLine="288"/>
      </w:pPr>
      <w:rPr>
        <w:strike w:val="0"/>
      </w:rPr>
    </w:lvl>
  </w:abstractNum>
  <w:abstractNum w:abstractNumId="35" w15:restartNumberingAfterBreak="0">
    <w:nsid w:val="7C466CEE"/>
    <w:multiLevelType w:val="multilevel"/>
    <w:tmpl w:val="48BA7444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."/>
      <w:lvlJc w:val="left"/>
      <w:pPr>
        <w:ind w:left="624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7" w15:restartNumberingAfterBreak="0">
    <w:nsid w:val="7E8924F8"/>
    <w:multiLevelType w:val="multilevel"/>
    <w:tmpl w:val="A1886A86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."/>
      <w:lvlJc w:val="left"/>
      <w:pPr>
        <w:ind w:left="624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"/>
  </w:num>
  <w:num w:numId="5">
    <w:abstractNumId w:val="25"/>
  </w:num>
  <w:num w:numId="6">
    <w:abstractNumId w:val="20"/>
  </w:num>
  <w:num w:numId="7">
    <w:abstractNumId w:val="3"/>
  </w:num>
  <w:num w:numId="8">
    <w:abstractNumId w:val="10"/>
  </w:num>
  <w:num w:numId="9">
    <w:abstractNumId w:val="23"/>
  </w:num>
  <w:num w:numId="10">
    <w:abstractNumId w:val="13"/>
  </w:num>
  <w:num w:numId="11">
    <w:abstractNumId w:val="28"/>
  </w:num>
  <w:num w:numId="12">
    <w:abstractNumId w:val="17"/>
  </w:num>
  <w:num w:numId="13">
    <w:abstractNumId w:val="9"/>
  </w:num>
  <w:num w:numId="14">
    <w:abstractNumId w:val="33"/>
  </w:num>
  <w:num w:numId="15">
    <w:abstractNumId w:val="6"/>
  </w:num>
  <w:num w:numId="16">
    <w:abstractNumId w:val="37"/>
  </w:num>
  <w:num w:numId="17">
    <w:abstractNumId w:val="35"/>
  </w:num>
  <w:num w:numId="18">
    <w:abstractNumId w:val="8"/>
  </w:num>
  <w:num w:numId="19">
    <w:abstractNumId w:val="15"/>
  </w:num>
  <w:num w:numId="20">
    <w:abstractNumId w:val="2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31"/>
  </w:num>
  <w:num w:numId="25">
    <w:abstractNumId w:val="30"/>
  </w:num>
  <w:num w:numId="26">
    <w:abstractNumId w:val="11"/>
  </w:num>
  <w:num w:numId="27">
    <w:abstractNumId w:val="16"/>
  </w:num>
  <w:num w:numId="28">
    <w:abstractNumId w:val="18"/>
  </w:num>
  <w:num w:numId="29">
    <w:abstractNumId w:val="34"/>
  </w:num>
  <w:num w:numId="30">
    <w:abstractNumId w:val="32"/>
  </w:num>
  <w:num w:numId="31">
    <w:abstractNumId w:val="0"/>
  </w:num>
  <w:num w:numId="32">
    <w:abstractNumId w:val="21"/>
  </w:num>
  <w:num w:numId="33">
    <w:abstractNumId w:val="19"/>
  </w:num>
  <w:num w:numId="34">
    <w:abstractNumId w:val="2"/>
  </w:num>
  <w:num w:numId="35">
    <w:abstractNumId w:val="36"/>
  </w:num>
  <w:num w:numId="36">
    <w:abstractNumId w:val="12"/>
  </w:num>
  <w:num w:numId="37">
    <w:abstractNumId w:val="22"/>
  </w:num>
  <w:num w:numId="38">
    <w:abstractNumId w:val="27"/>
  </w:num>
  <w:num w:numId="39">
    <w:abstractNumId w:val="34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7F"/>
    <w:rsid w:val="000016D6"/>
    <w:rsid w:val="0000214B"/>
    <w:rsid w:val="000048A3"/>
    <w:rsid w:val="000076AD"/>
    <w:rsid w:val="0000783B"/>
    <w:rsid w:val="000114F4"/>
    <w:rsid w:val="00012AFF"/>
    <w:rsid w:val="00013566"/>
    <w:rsid w:val="000205D6"/>
    <w:rsid w:val="00021D67"/>
    <w:rsid w:val="00022FA8"/>
    <w:rsid w:val="00023E09"/>
    <w:rsid w:val="000256E5"/>
    <w:rsid w:val="00027399"/>
    <w:rsid w:val="000306B1"/>
    <w:rsid w:val="000307A8"/>
    <w:rsid w:val="000315B4"/>
    <w:rsid w:val="000317BD"/>
    <w:rsid w:val="0003498F"/>
    <w:rsid w:val="00035C15"/>
    <w:rsid w:val="00035DDE"/>
    <w:rsid w:val="00036477"/>
    <w:rsid w:val="00036A9F"/>
    <w:rsid w:val="0004125F"/>
    <w:rsid w:val="00041F07"/>
    <w:rsid w:val="0004245B"/>
    <w:rsid w:val="00043F1F"/>
    <w:rsid w:val="00044DDA"/>
    <w:rsid w:val="00045F29"/>
    <w:rsid w:val="0004673B"/>
    <w:rsid w:val="000516D9"/>
    <w:rsid w:val="0005677E"/>
    <w:rsid w:val="000605B8"/>
    <w:rsid w:val="0006373C"/>
    <w:rsid w:val="00064173"/>
    <w:rsid w:val="000641E5"/>
    <w:rsid w:val="00064A9D"/>
    <w:rsid w:val="000651D8"/>
    <w:rsid w:val="00065EEC"/>
    <w:rsid w:val="00065FEB"/>
    <w:rsid w:val="00066EB7"/>
    <w:rsid w:val="0006751F"/>
    <w:rsid w:val="000715EF"/>
    <w:rsid w:val="00072F76"/>
    <w:rsid w:val="000732CD"/>
    <w:rsid w:val="00075B1E"/>
    <w:rsid w:val="00080351"/>
    <w:rsid w:val="0008198F"/>
    <w:rsid w:val="00081F15"/>
    <w:rsid w:val="0008540A"/>
    <w:rsid w:val="00086FD5"/>
    <w:rsid w:val="0009014F"/>
    <w:rsid w:val="00090A0D"/>
    <w:rsid w:val="00095B16"/>
    <w:rsid w:val="000966FD"/>
    <w:rsid w:val="000970D2"/>
    <w:rsid w:val="0009788B"/>
    <w:rsid w:val="000A0476"/>
    <w:rsid w:val="000A2E16"/>
    <w:rsid w:val="000A37ED"/>
    <w:rsid w:val="000A5622"/>
    <w:rsid w:val="000A573F"/>
    <w:rsid w:val="000A57E0"/>
    <w:rsid w:val="000A5CFF"/>
    <w:rsid w:val="000A77A8"/>
    <w:rsid w:val="000B0887"/>
    <w:rsid w:val="000B19DA"/>
    <w:rsid w:val="000B24EB"/>
    <w:rsid w:val="000B3008"/>
    <w:rsid w:val="000B5C9C"/>
    <w:rsid w:val="000B7807"/>
    <w:rsid w:val="000B7BC7"/>
    <w:rsid w:val="000C0EE7"/>
    <w:rsid w:val="000C1480"/>
    <w:rsid w:val="000C1898"/>
    <w:rsid w:val="000C3A19"/>
    <w:rsid w:val="000C448B"/>
    <w:rsid w:val="000C5F18"/>
    <w:rsid w:val="000D1237"/>
    <w:rsid w:val="000D2A29"/>
    <w:rsid w:val="000D2E9A"/>
    <w:rsid w:val="000D781F"/>
    <w:rsid w:val="000E0169"/>
    <w:rsid w:val="000E0DDB"/>
    <w:rsid w:val="000E2CAE"/>
    <w:rsid w:val="000E3A78"/>
    <w:rsid w:val="000E3FE5"/>
    <w:rsid w:val="000E4637"/>
    <w:rsid w:val="000E548B"/>
    <w:rsid w:val="000E6209"/>
    <w:rsid w:val="000E6353"/>
    <w:rsid w:val="000E7D29"/>
    <w:rsid w:val="000F350C"/>
    <w:rsid w:val="000F73F5"/>
    <w:rsid w:val="0010280E"/>
    <w:rsid w:val="001029BD"/>
    <w:rsid w:val="00111154"/>
    <w:rsid w:val="00111C55"/>
    <w:rsid w:val="001132DB"/>
    <w:rsid w:val="00113E5E"/>
    <w:rsid w:val="0011511D"/>
    <w:rsid w:val="00117E9D"/>
    <w:rsid w:val="0012564E"/>
    <w:rsid w:val="00125708"/>
    <w:rsid w:val="0013023C"/>
    <w:rsid w:val="001333C9"/>
    <w:rsid w:val="00133DFA"/>
    <w:rsid w:val="001357E9"/>
    <w:rsid w:val="00135F41"/>
    <w:rsid w:val="0013640C"/>
    <w:rsid w:val="001378E3"/>
    <w:rsid w:val="0014140E"/>
    <w:rsid w:val="00144A1F"/>
    <w:rsid w:val="00145217"/>
    <w:rsid w:val="001471AC"/>
    <w:rsid w:val="00154028"/>
    <w:rsid w:val="00154638"/>
    <w:rsid w:val="001563ED"/>
    <w:rsid w:val="001565BE"/>
    <w:rsid w:val="00156EF1"/>
    <w:rsid w:val="00162EC2"/>
    <w:rsid w:val="00163C3C"/>
    <w:rsid w:val="00170E45"/>
    <w:rsid w:val="00174FF5"/>
    <w:rsid w:val="0017699C"/>
    <w:rsid w:val="0017737B"/>
    <w:rsid w:val="0018098A"/>
    <w:rsid w:val="00194953"/>
    <w:rsid w:val="001956D2"/>
    <w:rsid w:val="00195D75"/>
    <w:rsid w:val="001A2328"/>
    <w:rsid w:val="001A4A6A"/>
    <w:rsid w:val="001A547F"/>
    <w:rsid w:val="001A58A6"/>
    <w:rsid w:val="001A69E1"/>
    <w:rsid w:val="001A6C4D"/>
    <w:rsid w:val="001B107C"/>
    <w:rsid w:val="001B1DD4"/>
    <w:rsid w:val="001B260A"/>
    <w:rsid w:val="001B262B"/>
    <w:rsid w:val="001B2A99"/>
    <w:rsid w:val="001B2DD5"/>
    <w:rsid w:val="001B44D2"/>
    <w:rsid w:val="001B47F4"/>
    <w:rsid w:val="001B5170"/>
    <w:rsid w:val="001B6F6C"/>
    <w:rsid w:val="001B7A7E"/>
    <w:rsid w:val="001C2DB3"/>
    <w:rsid w:val="001C2F24"/>
    <w:rsid w:val="001C3789"/>
    <w:rsid w:val="001C3839"/>
    <w:rsid w:val="001C6033"/>
    <w:rsid w:val="001C614A"/>
    <w:rsid w:val="001D0FFB"/>
    <w:rsid w:val="001D2AC3"/>
    <w:rsid w:val="001D647C"/>
    <w:rsid w:val="001E1A1E"/>
    <w:rsid w:val="001E62B8"/>
    <w:rsid w:val="001E6339"/>
    <w:rsid w:val="001E6BA9"/>
    <w:rsid w:val="001F1A60"/>
    <w:rsid w:val="001F59C4"/>
    <w:rsid w:val="001F5A3A"/>
    <w:rsid w:val="001F7DA0"/>
    <w:rsid w:val="002006FA"/>
    <w:rsid w:val="0020149C"/>
    <w:rsid w:val="00201DCA"/>
    <w:rsid w:val="002045DC"/>
    <w:rsid w:val="00204BED"/>
    <w:rsid w:val="00204D00"/>
    <w:rsid w:val="0020501F"/>
    <w:rsid w:val="002056BF"/>
    <w:rsid w:val="002069F1"/>
    <w:rsid w:val="0021104C"/>
    <w:rsid w:val="00213B1A"/>
    <w:rsid w:val="00214021"/>
    <w:rsid w:val="00214F71"/>
    <w:rsid w:val="0021514F"/>
    <w:rsid w:val="00215EFD"/>
    <w:rsid w:val="00217B7B"/>
    <w:rsid w:val="002218DC"/>
    <w:rsid w:val="002257F5"/>
    <w:rsid w:val="00225F66"/>
    <w:rsid w:val="00226B42"/>
    <w:rsid w:val="002275AA"/>
    <w:rsid w:val="00227F12"/>
    <w:rsid w:val="002315C1"/>
    <w:rsid w:val="0023281E"/>
    <w:rsid w:val="002330C6"/>
    <w:rsid w:val="002337C5"/>
    <w:rsid w:val="00234E39"/>
    <w:rsid w:val="00235CD8"/>
    <w:rsid w:val="00236D88"/>
    <w:rsid w:val="002412F6"/>
    <w:rsid w:val="0024138D"/>
    <w:rsid w:val="002418E0"/>
    <w:rsid w:val="00243E54"/>
    <w:rsid w:val="00250B91"/>
    <w:rsid w:val="002526AE"/>
    <w:rsid w:val="002536DA"/>
    <w:rsid w:val="00254D22"/>
    <w:rsid w:val="002560C0"/>
    <w:rsid w:val="00260299"/>
    <w:rsid w:val="00260CDA"/>
    <w:rsid w:val="002616DF"/>
    <w:rsid w:val="002620F4"/>
    <w:rsid w:val="00267EB4"/>
    <w:rsid w:val="00270EC1"/>
    <w:rsid w:val="002712F6"/>
    <w:rsid w:val="00272249"/>
    <w:rsid w:val="00272560"/>
    <w:rsid w:val="0027754C"/>
    <w:rsid w:val="002778CB"/>
    <w:rsid w:val="00281E37"/>
    <w:rsid w:val="00282D5F"/>
    <w:rsid w:val="00282F1D"/>
    <w:rsid w:val="002833BE"/>
    <w:rsid w:val="00287DAB"/>
    <w:rsid w:val="00290A34"/>
    <w:rsid w:val="002920F9"/>
    <w:rsid w:val="00293211"/>
    <w:rsid w:val="00296FB5"/>
    <w:rsid w:val="00297248"/>
    <w:rsid w:val="00297488"/>
    <w:rsid w:val="002A1B1B"/>
    <w:rsid w:val="002A2420"/>
    <w:rsid w:val="002A2BF0"/>
    <w:rsid w:val="002A4974"/>
    <w:rsid w:val="002A6684"/>
    <w:rsid w:val="002B067F"/>
    <w:rsid w:val="002B3B8A"/>
    <w:rsid w:val="002B71C1"/>
    <w:rsid w:val="002B7AA6"/>
    <w:rsid w:val="002C0C23"/>
    <w:rsid w:val="002C2F28"/>
    <w:rsid w:val="002D0FCA"/>
    <w:rsid w:val="002D21B1"/>
    <w:rsid w:val="002D2883"/>
    <w:rsid w:val="002D47EC"/>
    <w:rsid w:val="002D498B"/>
    <w:rsid w:val="002D543C"/>
    <w:rsid w:val="002D5C9F"/>
    <w:rsid w:val="002E2179"/>
    <w:rsid w:val="002E3A73"/>
    <w:rsid w:val="002E5A3D"/>
    <w:rsid w:val="002E6A2D"/>
    <w:rsid w:val="002E7FF0"/>
    <w:rsid w:val="002F130C"/>
    <w:rsid w:val="002F1E52"/>
    <w:rsid w:val="002F2B08"/>
    <w:rsid w:val="002F4A1D"/>
    <w:rsid w:val="00310722"/>
    <w:rsid w:val="00313985"/>
    <w:rsid w:val="00316522"/>
    <w:rsid w:val="003178E3"/>
    <w:rsid w:val="00321F08"/>
    <w:rsid w:val="00322743"/>
    <w:rsid w:val="003232A4"/>
    <w:rsid w:val="003235DC"/>
    <w:rsid w:val="0032366A"/>
    <w:rsid w:val="00325943"/>
    <w:rsid w:val="0032640D"/>
    <w:rsid w:val="003304AB"/>
    <w:rsid w:val="00330D39"/>
    <w:rsid w:val="00333A17"/>
    <w:rsid w:val="0033451D"/>
    <w:rsid w:val="00340F46"/>
    <w:rsid w:val="003445F7"/>
    <w:rsid w:val="00344C21"/>
    <w:rsid w:val="00344D46"/>
    <w:rsid w:val="00345514"/>
    <w:rsid w:val="00346291"/>
    <w:rsid w:val="00346E78"/>
    <w:rsid w:val="00350648"/>
    <w:rsid w:val="00350AD4"/>
    <w:rsid w:val="00351776"/>
    <w:rsid w:val="00351E58"/>
    <w:rsid w:val="00352FC7"/>
    <w:rsid w:val="003535C7"/>
    <w:rsid w:val="003537FA"/>
    <w:rsid w:val="00354322"/>
    <w:rsid w:val="00356DA4"/>
    <w:rsid w:val="00361377"/>
    <w:rsid w:val="0036173B"/>
    <w:rsid w:val="00365C3B"/>
    <w:rsid w:val="00367F69"/>
    <w:rsid w:val="003754A9"/>
    <w:rsid w:val="00376012"/>
    <w:rsid w:val="0038069A"/>
    <w:rsid w:val="00381499"/>
    <w:rsid w:val="003907C1"/>
    <w:rsid w:val="00391B0B"/>
    <w:rsid w:val="003940F8"/>
    <w:rsid w:val="0039558C"/>
    <w:rsid w:val="00396403"/>
    <w:rsid w:val="0039799F"/>
    <w:rsid w:val="003A61BD"/>
    <w:rsid w:val="003A72D0"/>
    <w:rsid w:val="003B094E"/>
    <w:rsid w:val="003B2A69"/>
    <w:rsid w:val="003B7443"/>
    <w:rsid w:val="003C1BD5"/>
    <w:rsid w:val="003C2319"/>
    <w:rsid w:val="003C3739"/>
    <w:rsid w:val="003C73CF"/>
    <w:rsid w:val="003D0711"/>
    <w:rsid w:val="003D1243"/>
    <w:rsid w:val="003D3CBD"/>
    <w:rsid w:val="003D7F5B"/>
    <w:rsid w:val="003E43C3"/>
    <w:rsid w:val="003E595E"/>
    <w:rsid w:val="003E7CF7"/>
    <w:rsid w:val="003F088A"/>
    <w:rsid w:val="003F1BEC"/>
    <w:rsid w:val="003F2447"/>
    <w:rsid w:val="003F35D2"/>
    <w:rsid w:val="003F66D9"/>
    <w:rsid w:val="003F7EA8"/>
    <w:rsid w:val="004017C7"/>
    <w:rsid w:val="00402812"/>
    <w:rsid w:val="00404B3B"/>
    <w:rsid w:val="004101F8"/>
    <w:rsid w:val="004104B5"/>
    <w:rsid w:val="004141BB"/>
    <w:rsid w:val="00420D27"/>
    <w:rsid w:val="0042505A"/>
    <w:rsid w:val="00430996"/>
    <w:rsid w:val="00435243"/>
    <w:rsid w:val="004379E8"/>
    <w:rsid w:val="00440C44"/>
    <w:rsid w:val="004410BD"/>
    <w:rsid w:val="004420A0"/>
    <w:rsid w:val="0044416B"/>
    <w:rsid w:val="00453589"/>
    <w:rsid w:val="00453947"/>
    <w:rsid w:val="0045581D"/>
    <w:rsid w:val="00457808"/>
    <w:rsid w:val="00460657"/>
    <w:rsid w:val="00463FA8"/>
    <w:rsid w:val="00465314"/>
    <w:rsid w:val="00466BE6"/>
    <w:rsid w:val="0047190E"/>
    <w:rsid w:val="00473EF7"/>
    <w:rsid w:val="004745E6"/>
    <w:rsid w:val="00474B29"/>
    <w:rsid w:val="0047501E"/>
    <w:rsid w:val="0047574A"/>
    <w:rsid w:val="00475F06"/>
    <w:rsid w:val="00476008"/>
    <w:rsid w:val="004776CB"/>
    <w:rsid w:val="004822B4"/>
    <w:rsid w:val="00483211"/>
    <w:rsid w:val="00484D98"/>
    <w:rsid w:val="00485018"/>
    <w:rsid w:val="00486135"/>
    <w:rsid w:val="0049036C"/>
    <w:rsid w:val="00492AB0"/>
    <w:rsid w:val="00495D1C"/>
    <w:rsid w:val="00496C46"/>
    <w:rsid w:val="0049797D"/>
    <w:rsid w:val="004A05EB"/>
    <w:rsid w:val="004A0EA8"/>
    <w:rsid w:val="004A1B4C"/>
    <w:rsid w:val="004A45C7"/>
    <w:rsid w:val="004A7A03"/>
    <w:rsid w:val="004A7FC4"/>
    <w:rsid w:val="004B0FF3"/>
    <w:rsid w:val="004B2673"/>
    <w:rsid w:val="004B49E9"/>
    <w:rsid w:val="004C0369"/>
    <w:rsid w:val="004C093E"/>
    <w:rsid w:val="004C0B07"/>
    <w:rsid w:val="004C1625"/>
    <w:rsid w:val="004C1F0C"/>
    <w:rsid w:val="004C2D48"/>
    <w:rsid w:val="004C304D"/>
    <w:rsid w:val="004C378C"/>
    <w:rsid w:val="004C48A9"/>
    <w:rsid w:val="004C6C6B"/>
    <w:rsid w:val="004C7824"/>
    <w:rsid w:val="004D1557"/>
    <w:rsid w:val="004D2226"/>
    <w:rsid w:val="004D3D3F"/>
    <w:rsid w:val="004D488E"/>
    <w:rsid w:val="004D562D"/>
    <w:rsid w:val="004D6B0C"/>
    <w:rsid w:val="004D7A46"/>
    <w:rsid w:val="004E07E4"/>
    <w:rsid w:val="004E0EDD"/>
    <w:rsid w:val="004E6A65"/>
    <w:rsid w:val="004F0C20"/>
    <w:rsid w:val="004F2CEB"/>
    <w:rsid w:val="004F475F"/>
    <w:rsid w:val="004F4ECB"/>
    <w:rsid w:val="004F74F5"/>
    <w:rsid w:val="004F7ED6"/>
    <w:rsid w:val="0050174C"/>
    <w:rsid w:val="00506AD3"/>
    <w:rsid w:val="00512328"/>
    <w:rsid w:val="005167F1"/>
    <w:rsid w:val="005204B4"/>
    <w:rsid w:val="00520686"/>
    <w:rsid w:val="00523750"/>
    <w:rsid w:val="005259C3"/>
    <w:rsid w:val="005259D4"/>
    <w:rsid w:val="0052700A"/>
    <w:rsid w:val="0053004C"/>
    <w:rsid w:val="00530B7E"/>
    <w:rsid w:val="00535204"/>
    <w:rsid w:val="00535485"/>
    <w:rsid w:val="005369E4"/>
    <w:rsid w:val="00543CC2"/>
    <w:rsid w:val="00545792"/>
    <w:rsid w:val="005479D1"/>
    <w:rsid w:val="00547D2A"/>
    <w:rsid w:val="005535BA"/>
    <w:rsid w:val="0055437C"/>
    <w:rsid w:val="00555681"/>
    <w:rsid w:val="0056259F"/>
    <w:rsid w:val="0056344B"/>
    <w:rsid w:val="00564071"/>
    <w:rsid w:val="00565367"/>
    <w:rsid w:val="0056563A"/>
    <w:rsid w:val="00567D43"/>
    <w:rsid w:val="00570319"/>
    <w:rsid w:val="005709C4"/>
    <w:rsid w:val="0057319C"/>
    <w:rsid w:val="00574A08"/>
    <w:rsid w:val="00576197"/>
    <w:rsid w:val="0058123D"/>
    <w:rsid w:val="005816AB"/>
    <w:rsid w:val="00581C8B"/>
    <w:rsid w:val="00582863"/>
    <w:rsid w:val="00585B0C"/>
    <w:rsid w:val="00586AC9"/>
    <w:rsid w:val="00586E94"/>
    <w:rsid w:val="00587A44"/>
    <w:rsid w:val="0059008D"/>
    <w:rsid w:val="00591096"/>
    <w:rsid w:val="00592DFB"/>
    <w:rsid w:val="00595272"/>
    <w:rsid w:val="005A2582"/>
    <w:rsid w:val="005A310F"/>
    <w:rsid w:val="005A4580"/>
    <w:rsid w:val="005A4A16"/>
    <w:rsid w:val="005A504F"/>
    <w:rsid w:val="005A633C"/>
    <w:rsid w:val="005A6507"/>
    <w:rsid w:val="005B0269"/>
    <w:rsid w:val="005B1125"/>
    <w:rsid w:val="005B3DAA"/>
    <w:rsid w:val="005C17FC"/>
    <w:rsid w:val="005C37DC"/>
    <w:rsid w:val="005C3E15"/>
    <w:rsid w:val="005C421A"/>
    <w:rsid w:val="005C4444"/>
    <w:rsid w:val="005C5882"/>
    <w:rsid w:val="005C64CA"/>
    <w:rsid w:val="005C6C32"/>
    <w:rsid w:val="005D09C2"/>
    <w:rsid w:val="005D25C3"/>
    <w:rsid w:val="005D44F9"/>
    <w:rsid w:val="005D48F7"/>
    <w:rsid w:val="005D5487"/>
    <w:rsid w:val="005D67AF"/>
    <w:rsid w:val="005D7EE8"/>
    <w:rsid w:val="005E018D"/>
    <w:rsid w:val="005E0C49"/>
    <w:rsid w:val="005E31A7"/>
    <w:rsid w:val="005E3506"/>
    <w:rsid w:val="005E3D03"/>
    <w:rsid w:val="005E458B"/>
    <w:rsid w:val="005E5988"/>
    <w:rsid w:val="005E7246"/>
    <w:rsid w:val="005E7AF7"/>
    <w:rsid w:val="005F434E"/>
    <w:rsid w:val="005F6CB4"/>
    <w:rsid w:val="00602663"/>
    <w:rsid w:val="00610CFE"/>
    <w:rsid w:val="00612743"/>
    <w:rsid w:val="00615A23"/>
    <w:rsid w:val="00615CF1"/>
    <w:rsid w:val="00620EFC"/>
    <w:rsid w:val="006219AB"/>
    <w:rsid w:val="00622C09"/>
    <w:rsid w:val="00623B43"/>
    <w:rsid w:val="006246A7"/>
    <w:rsid w:val="006252B5"/>
    <w:rsid w:val="00627F5B"/>
    <w:rsid w:val="006302FE"/>
    <w:rsid w:val="006361E3"/>
    <w:rsid w:val="0063644D"/>
    <w:rsid w:val="006374F9"/>
    <w:rsid w:val="0064435C"/>
    <w:rsid w:val="0064464B"/>
    <w:rsid w:val="00647C31"/>
    <w:rsid w:val="00650A8E"/>
    <w:rsid w:val="00653E8B"/>
    <w:rsid w:val="00654F6A"/>
    <w:rsid w:val="00660CB9"/>
    <w:rsid w:val="00662167"/>
    <w:rsid w:val="0066512C"/>
    <w:rsid w:val="0066710B"/>
    <w:rsid w:val="00671956"/>
    <w:rsid w:val="0067376A"/>
    <w:rsid w:val="006759C2"/>
    <w:rsid w:val="00681D4E"/>
    <w:rsid w:val="00681E27"/>
    <w:rsid w:val="00681F63"/>
    <w:rsid w:val="00686208"/>
    <w:rsid w:val="00692D42"/>
    <w:rsid w:val="00694C38"/>
    <w:rsid w:val="00695ECB"/>
    <w:rsid w:val="006A0F3A"/>
    <w:rsid w:val="006A14BC"/>
    <w:rsid w:val="006A2EDD"/>
    <w:rsid w:val="006A38A1"/>
    <w:rsid w:val="006A4DB9"/>
    <w:rsid w:val="006A531D"/>
    <w:rsid w:val="006A6723"/>
    <w:rsid w:val="006B0C2F"/>
    <w:rsid w:val="006B2ED7"/>
    <w:rsid w:val="006B3BF7"/>
    <w:rsid w:val="006B5BC7"/>
    <w:rsid w:val="006B65E2"/>
    <w:rsid w:val="006B66F5"/>
    <w:rsid w:val="006B673A"/>
    <w:rsid w:val="006C0D1A"/>
    <w:rsid w:val="006C0D68"/>
    <w:rsid w:val="006C2F64"/>
    <w:rsid w:val="006C78A0"/>
    <w:rsid w:val="006D1C18"/>
    <w:rsid w:val="006D28C5"/>
    <w:rsid w:val="006D517C"/>
    <w:rsid w:val="006D53A5"/>
    <w:rsid w:val="006D7F86"/>
    <w:rsid w:val="006E04C2"/>
    <w:rsid w:val="006E0BED"/>
    <w:rsid w:val="006E0F45"/>
    <w:rsid w:val="006E18C9"/>
    <w:rsid w:val="006E257B"/>
    <w:rsid w:val="006E40C8"/>
    <w:rsid w:val="006E6444"/>
    <w:rsid w:val="006F07F4"/>
    <w:rsid w:val="006F27E9"/>
    <w:rsid w:val="006F2964"/>
    <w:rsid w:val="006F3869"/>
    <w:rsid w:val="006F3C7A"/>
    <w:rsid w:val="006F4709"/>
    <w:rsid w:val="006F4F78"/>
    <w:rsid w:val="006F6C4F"/>
    <w:rsid w:val="006F75A0"/>
    <w:rsid w:val="007000D6"/>
    <w:rsid w:val="00701696"/>
    <w:rsid w:val="007019AF"/>
    <w:rsid w:val="00701A6B"/>
    <w:rsid w:val="007043B0"/>
    <w:rsid w:val="007057B5"/>
    <w:rsid w:val="00710D83"/>
    <w:rsid w:val="007114CA"/>
    <w:rsid w:val="007124A1"/>
    <w:rsid w:val="00712665"/>
    <w:rsid w:val="007128E3"/>
    <w:rsid w:val="00714E50"/>
    <w:rsid w:val="00714F87"/>
    <w:rsid w:val="00721311"/>
    <w:rsid w:val="007215E6"/>
    <w:rsid w:val="00723035"/>
    <w:rsid w:val="00723305"/>
    <w:rsid w:val="007259EF"/>
    <w:rsid w:val="00726A50"/>
    <w:rsid w:val="007271F2"/>
    <w:rsid w:val="00731FCF"/>
    <w:rsid w:val="00732E86"/>
    <w:rsid w:val="0073766E"/>
    <w:rsid w:val="0074479E"/>
    <w:rsid w:val="00745480"/>
    <w:rsid w:val="0074744A"/>
    <w:rsid w:val="0075067B"/>
    <w:rsid w:val="00752368"/>
    <w:rsid w:val="00754A3A"/>
    <w:rsid w:val="00754C6F"/>
    <w:rsid w:val="00756FB7"/>
    <w:rsid w:val="007613A4"/>
    <w:rsid w:val="00763F53"/>
    <w:rsid w:val="00766D6C"/>
    <w:rsid w:val="00767245"/>
    <w:rsid w:val="007700EF"/>
    <w:rsid w:val="00775983"/>
    <w:rsid w:val="00776585"/>
    <w:rsid w:val="007801A9"/>
    <w:rsid w:val="00782180"/>
    <w:rsid w:val="00783253"/>
    <w:rsid w:val="00784041"/>
    <w:rsid w:val="00784BA3"/>
    <w:rsid w:val="007854D6"/>
    <w:rsid w:val="00786B55"/>
    <w:rsid w:val="0079036C"/>
    <w:rsid w:val="007908BA"/>
    <w:rsid w:val="00790DC0"/>
    <w:rsid w:val="00790ED1"/>
    <w:rsid w:val="00792443"/>
    <w:rsid w:val="007928A1"/>
    <w:rsid w:val="0079305F"/>
    <w:rsid w:val="00793E0B"/>
    <w:rsid w:val="00794C0B"/>
    <w:rsid w:val="00795AC6"/>
    <w:rsid w:val="00796269"/>
    <w:rsid w:val="00796E52"/>
    <w:rsid w:val="007A2176"/>
    <w:rsid w:val="007A28ED"/>
    <w:rsid w:val="007A4781"/>
    <w:rsid w:val="007A6624"/>
    <w:rsid w:val="007A6654"/>
    <w:rsid w:val="007A6F64"/>
    <w:rsid w:val="007A75E3"/>
    <w:rsid w:val="007A7D73"/>
    <w:rsid w:val="007B081A"/>
    <w:rsid w:val="007B1E82"/>
    <w:rsid w:val="007B28A7"/>
    <w:rsid w:val="007B414A"/>
    <w:rsid w:val="007B4978"/>
    <w:rsid w:val="007B73A3"/>
    <w:rsid w:val="007C064C"/>
    <w:rsid w:val="007C0FC7"/>
    <w:rsid w:val="007C3322"/>
    <w:rsid w:val="007C3AD1"/>
    <w:rsid w:val="007C3FAD"/>
    <w:rsid w:val="007D0548"/>
    <w:rsid w:val="007D1E3B"/>
    <w:rsid w:val="007D576C"/>
    <w:rsid w:val="007D7A99"/>
    <w:rsid w:val="007D7D25"/>
    <w:rsid w:val="007E11F1"/>
    <w:rsid w:val="007E2BB6"/>
    <w:rsid w:val="007E63A6"/>
    <w:rsid w:val="007E728E"/>
    <w:rsid w:val="007F0A73"/>
    <w:rsid w:val="007F0DC8"/>
    <w:rsid w:val="007F1DC2"/>
    <w:rsid w:val="007F3D2E"/>
    <w:rsid w:val="007F444E"/>
    <w:rsid w:val="007F5412"/>
    <w:rsid w:val="007F6A3F"/>
    <w:rsid w:val="00800645"/>
    <w:rsid w:val="008007F3"/>
    <w:rsid w:val="00802A35"/>
    <w:rsid w:val="00805612"/>
    <w:rsid w:val="00806973"/>
    <w:rsid w:val="00807DB8"/>
    <w:rsid w:val="008118E1"/>
    <w:rsid w:val="00811F42"/>
    <w:rsid w:val="00811FA9"/>
    <w:rsid w:val="008128AB"/>
    <w:rsid w:val="008131C5"/>
    <w:rsid w:val="00820433"/>
    <w:rsid w:val="00821210"/>
    <w:rsid w:val="0082158A"/>
    <w:rsid w:val="00823518"/>
    <w:rsid w:val="0083017C"/>
    <w:rsid w:val="00832D65"/>
    <w:rsid w:val="00834302"/>
    <w:rsid w:val="00835CE5"/>
    <w:rsid w:val="0084393E"/>
    <w:rsid w:val="00844CD6"/>
    <w:rsid w:val="00847FB7"/>
    <w:rsid w:val="0085087D"/>
    <w:rsid w:val="00851E6B"/>
    <w:rsid w:val="0085329A"/>
    <w:rsid w:val="0085418C"/>
    <w:rsid w:val="008557C1"/>
    <w:rsid w:val="0085796A"/>
    <w:rsid w:val="00860664"/>
    <w:rsid w:val="00860BBD"/>
    <w:rsid w:val="008617A4"/>
    <w:rsid w:val="00862D3B"/>
    <w:rsid w:val="0086517F"/>
    <w:rsid w:val="0086548D"/>
    <w:rsid w:val="008654BF"/>
    <w:rsid w:val="00867335"/>
    <w:rsid w:val="00870A71"/>
    <w:rsid w:val="00872CFD"/>
    <w:rsid w:val="00874D6A"/>
    <w:rsid w:val="00875AE7"/>
    <w:rsid w:val="00877D67"/>
    <w:rsid w:val="00881C93"/>
    <w:rsid w:val="00882F8A"/>
    <w:rsid w:val="00883D22"/>
    <w:rsid w:val="00884BB0"/>
    <w:rsid w:val="00890D3E"/>
    <w:rsid w:val="00896535"/>
    <w:rsid w:val="008A013D"/>
    <w:rsid w:val="008A0C24"/>
    <w:rsid w:val="008A0E15"/>
    <w:rsid w:val="008A1504"/>
    <w:rsid w:val="008A1854"/>
    <w:rsid w:val="008A47D9"/>
    <w:rsid w:val="008A53CE"/>
    <w:rsid w:val="008B2250"/>
    <w:rsid w:val="008B2460"/>
    <w:rsid w:val="008B5764"/>
    <w:rsid w:val="008B5D4F"/>
    <w:rsid w:val="008B737C"/>
    <w:rsid w:val="008C1D78"/>
    <w:rsid w:val="008C1F25"/>
    <w:rsid w:val="008C3289"/>
    <w:rsid w:val="008C3E1E"/>
    <w:rsid w:val="008C5E1F"/>
    <w:rsid w:val="008D42DE"/>
    <w:rsid w:val="008D4C4A"/>
    <w:rsid w:val="008D4DEB"/>
    <w:rsid w:val="008E02D7"/>
    <w:rsid w:val="008E04E4"/>
    <w:rsid w:val="008E0D07"/>
    <w:rsid w:val="008E1821"/>
    <w:rsid w:val="008E2E47"/>
    <w:rsid w:val="008E664C"/>
    <w:rsid w:val="008F02F1"/>
    <w:rsid w:val="008F323C"/>
    <w:rsid w:val="008F4888"/>
    <w:rsid w:val="008F4AB8"/>
    <w:rsid w:val="008F5EDB"/>
    <w:rsid w:val="008F7371"/>
    <w:rsid w:val="008F7565"/>
    <w:rsid w:val="008F7DF7"/>
    <w:rsid w:val="00903717"/>
    <w:rsid w:val="00903753"/>
    <w:rsid w:val="00905E02"/>
    <w:rsid w:val="00906586"/>
    <w:rsid w:val="00906892"/>
    <w:rsid w:val="00912D3C"/>
    <w:rsid w:val="00916465"/>
    <w:rsid w:val="00917E2F"/>
    <w:rsid w:val="00920A09"/>
    <w:rsid w:val="00922E69"/>
    <w:rsid w:val="009249AF"/>
    <w:rsid w:val="009254AE"/>
    <w:rsid w:val="00926B01"/>
    <w:rsid w:val="00926E9B"/>
    <w:rsid w:val="009359B6"/>
    <w:rsid w:val="00937B72"/>
    <w:rsid w:val="00941AE8"/>
    <w:rsid w:val="00943B87"/>
    <w:rsid w:val="00943E9B"/>
    <w:rsid w:val="00944E5C"/>
    <w:rsid w:val="00946008"/>
    <w:rsid w:val="00946FFA"/>
    <w:rsid w:val="009475AC"/>
    <w:rsid w:val="009558C5"/>
    <w:rsid w:val="009701B8"/>
    <w:rsid w:val="0097308C"/>
    <w:rsid w:val="00974C73"/>
    <w:rsid w:val="0097542C"/>
    <w:rsid w:val="009775DB"/>
    <w:rsid w:val="00981971"/>
    <w:rsid w:val="00982490"/>
    <w:rsid w:val="00982994"/>
    <w:rsid w:val="00982CA7"/>
    <w:rsid w:val="009838B8"/>
    <w:rsid w:val="0098664A"/>
    <w:rsid w:val="00992586"/>
    <w:rsid w:val="009958DA"/>
    <w:rsid w:val="00996B2B"/>
    <w:rsid w:val="00997AAC"/>
    <w:rsid w:val="009A20BA"/>
    <w:rsid w:val="009A3DD2"/>
    <w:rsid w:val="009A4359"/>
    <w:rsid w:val="009A44ED"/>
    <w:rsid w:val="009A53C8"/>
    <w:rsid w:val="009A5DF5"/>
    <w:rsid w:val="009B18A9"/>
    <w:rsid w:val="009B29C4"/>
    <w:rsid w:val="009B3495"/>
    <w:rsid w:val="009B3961"/>
    <w:rsid w:val="009B4B8B"/>
    <w:rsid w:val="009B4F51"/>
    <w:rsid w:val="009B6C33"/>
    <w:rsid w:val="009C2724"/>
    <w:rsid w:val="009C66DC"/>
    <w:rsid w:val="009D39C4"/>
    <w:rsid w:val="009D4255"/>
    <w:rsid w:val="009D5D45"/>
    <w:rsid w:val="009D6F05"/>
    <w:rsid w:val="009E09BE"/>
    <w:rsid w:val="009E13D7"/>
    <w:rsid w:val="009E30FF"/>
    <w:rsid w:val="009E34FA"/>
    <w:rsid w:val="009E4FC4"/>
    <w:rsid w:val="009E7220"/>
    <w:rsid w:val="009F0F01"/>
    <w:rsid w:val="009F34A5"/>
    <w:rsid w:val="009F60E1"/>
    <w:rsid w:val="00A01FBE"/>
    <w:rsid w:val="00A072D6"/>
    <w:rsid w:val="00A136D6"/>
    <w:rsid w:val="00A14C1A"/>
    <w:rsid w:val="00A23DF4"/>
    <w:rsid w:val="00A25067"/>
    <w:rsid w:val="00A26002"/>
    <w:rsid w:val="00A27C6F"/>
    <w:rsid w:val="00A32EE9"/>
    <w:rsid w:val="00A34A09"/>
    <w:rsid w:val="00A413E0"/>
    <w:rsid w:val="00A44650"/>
    <w:rsid w:val="00A453D8"/>
    <w:rsid w:val="00A46D8A"/>
    <w:rsid w:val="00A50078"/>
    <w:rsid w:val="00A557A2"/>
    <w:rsid w:val="00A5615F"/>
    <w:rsid w:val="00A60BD6"/>
    <w:rsid w:val="00A60FC4"/>
    <w:rsid w:val="00A61D58"/>
    <w:rsid w:val="00A6357D"/>
    <w:rsid w:val="00A64566"/>
    <w:rsid w:val="00A64874"/>
    <w:rsid w:val="00A649DC"/>
    <w:rsid w:val="00A665BD"/>
    <w:rsid w:val="00A73407"/>
    <w:rsid w:val="00A73F86"/>
    <w:rsid w:val="00A74FEF"/>
    <w:rsid w:val="00A802A0"/>
    <w:rsid w:val="00A81060"/>
    <w:rsid w:val="00A81680"/>
    <w:rsid w:val="00A8227F"/>
    <w:rsid w:val="00A826BD"/>
    <w:rsid w:val="00A846A3"/>
    <w:rsid w:val="00A86183"/>
    <w:rsid w:val="00A91E45"/>
    <w:rsid w:val="00A955F5"/>
    <w:rsid w:val="00A9679C"/>
    <w:rsid w:val="00A9690B"/>
    <w:rsid w:val="00AA1EB7"/>
    <w:rsid w:val="00AA2EE8"/>
    <w:rsid w:val="00AA322A"/>
    <w:rsid w:val="00AA60C4"/>
    <w:rsid w:val="00AA7D9B"/>
    <w:rsid w:val="00AB1DE2"/>
    <w:rsid w:val="00AB3D3F"/>
    <w:rsid w:val="00AB4AF4"/>
    <w:rsid w:val="00AC0E81"/>
    <w:rsid w:val="00AC17E8"/>
    <w:rsid w:val="00AC29CA"/>
    <w:rsid w:val="00AC5E59"/>
    <w:rsid w:val="00AC6D43"/>
    <w:rsid w:val="00AD126A"/>
    <w:rsid w:val="00AD18A0"/>
    <w:rsid w:val="00AD1FD3"/>
    <w:rsid w:val="00AD24E2"/>
    <w:rsid w:val="00AD2F67"/>
    <w:rsid w:val="00AE0211"/>
    <w:rsid w:val="00AE084D"/>
    <w:rsid w:val="00AE0DF0"/>
    <w:rsid w:val="00AE1144"/>
    <w:rsid w:val="00AE1937"/>
    <w:rsid w:val="00AE1EDA"/>
    <w:rsid w:val="00AE3E82"/>
    <w:rsid w:val="00AE41B8"/>
    <w:rsid w:val="00AE49D1"/>
    <w:rsid w:val="00AF1846"/>
    <w:rsid w:val="00AF24A5"/>
    <w:rsid w:val="00AF2623"/>
    <w:rsid w:val="00AF3824"/>
    <w:rsid w:val="00B00DEE"/>
    <w:rsid w:val="00B025B5"/>
    <w:rsid w:val="00B02E9E"/>
    <w:rsid w:val="00B05EE9"/>
    <w:rsid w:val="00B066F6"/>
    <w:rsid w:val="00B1419B"/>
    <w:rsid w:val="00B2120F"/>
    <w:rsid w:val="00B22437"/>
    <w:rsid w:val="00B22600"/>
    <w:rsid w:val="00B24B89"/>
    <w:rsid w:val="00B26A13"/>
    <w:rsid w:val="00B31E51"/>
    <w:rsid w:val="00B31ED6"/>
    <w:rsid w:val="00B337C7"/>
    <w:rsid w:val="00B35563"/>
    <w:rsid w:val="00B3767C"/>
    <w:rsid w:val="00B37EE2"/>
    <w:rsid w:val="00B41E23"/>
    <w:rsid w:val="00B41E7A"/>
    <w:rsid w:val="00B42D67"/>
    <w:rsid w:val="00B42D6C"/>
    <w:rsid w:val="00B44172"/>
    <w:rsid w:val="00B45503"/>
    <w:rsid w:val="00B46286"/>
    <w:rsid w:val="00B47C14"/>
    <w:rsid w:val="00B51DBF"/>
    <w:rsid w:val="00B52E3F"/>
    <w:rsid w:val="00B53333"/>
    <w:rsid w:val="00B538E7"/>
    <w:rsid w:val="00B53E36"/>
    <w:rsid w:val="00B53ECF"/>
    <w:rsid w:val="00B56ED3"/>
    <w:rsid w:val="00B60BEE"/>
    <w:rsid w:val="00B61140"/>
    <w:rsid w:val="00B64540"/>
    <w:rsid w:val="00B7012A"/>
    <w:rsid w:val="00B72305"/>
    <w:rsid w:val="00B72C19"/>
    <w:rsid w:val="00B75BC3"/>
    <w:rsid w:val="00B76D13"/>
    <w:rsid w:val="00B8257D"/>
    <w:rsid w:val="00B8259F"/>
    <w:rsid w:val="00B83590"/>
    <w:rsid w:val="00B837CA"/>
    <w:rsid w:val="00B87E89"/>
    <w:rsid w:val="00B9128C"/>
    <w:rsid w:val="00B9365C"/>
    <w:rsid w:val="00B93E3C"/>
    <w:rsid w:val="00B94C99"/>
    <w:rsid w:val="00B9642B"/>
    <w:rsid w:val="00B96A8B"/>
    <w:rsid w:val="00BA15E6"/>
    <w:rsid w:val="00BA2ACC"/>
    <w:rsid w:val="00BA377F"/>
    <w:rsid w:val="00BA4FB2"/>
    <w:rsid w:val="00BB31FB"/>
    <w:rsid w:val="00BB4503"/>
    <w:rsid w:val="00BB6E9B"/>
    <w:rsid w:val="00BC1077"/>
    <w:rsid w:val="00BC31AE"/>
    <w:rsid w:val="00BC36E7"/>
    <w:rsid w:val="00BC3DE3"/>
    <w:rsid w:val="00BC5278"/>
    <w:rsid w:val="00BC56AE"/>
    <w:rsid w:val="00BC78B6"/>
    <w:rsid w:val="00BD1769"/>
    <w:rsid w:val="00BD23B4"/>
    <w:rsid w:val="00BD37D0"/>
    <w:rsid w:val="00BD7423"/>
    <w:rsid w:val="00BE1992"/>
    <w:rsid w:val="00BE23F4"/>
    <w:rsid w:val="00BE344D"/>
    <w:rsid w:val="00BE3677"/>
    <w:rsid w:val="00BE41DA"/>
    <w:rsid w:val="00BE4606"/>
    <w:rsid w:val="00BE6DD0"/>
    <w:rsid w:val="00BF1AC9"/>
    <w:rsid w:val="00BF2564"/>
    <w:rsid w:val="00BF32A4"/>
    <w:rsid w:val="00BF587B"/>
    <w:rsid w:val="00BF7867"/>
    <w:rsid w:val="00C008D0"/>
    <w:rsid w:val="00C01390"/>
    <w:rsid w:val="00C01BC4"/>
    <w:rsid w:val="00C01C98"/>
    <w:rsid w:val="00C026D3"/>
    <w:rsid w:val="00C03664"/>
    <w:rsid w:val="00C04025"/>
    <w:rsid w:val="00C054E8"/>
    <w:rsid w:val="00C1020B"/>
    <w:rsid w:val="00C105CF"/>
    <w:rsid w:val="00C11D93"/>
    <w:rsid w:val="00C16479"/>
    <w:rsid w:val="00C169EC"/>
    <w:rsid w:val="00C21726"/>
    <w:rsid w:val="00C23D95"/>
    <w:rsid w:val="00C24E23"/>
    <w:rsid w:val="00C2596D"/>
    <w:rsid w:val="00C25B3B"/>
    <w:rsid w:val="00C32177"/>
    <w:rsid w:val="00C3379A"/>
    <w:rsid w:val="00C339D8"/>
    <w:rsid w:val="00C36A89"/>
    <w:rsid w:val="00C43ECD"/>
    <w:rsid w:val="00C4520E"/>
    <w:rsid w:val="00C4558F"/>
    <w:rsid w:val="00C45D0C"/>
    <w:rsid w:val="00C5033A"/>
    <w:rsid w:val="00C51B40"/>
    <w:rsid w:val="00C520F6"/>
    <w:rsid w:val="00C521F3"/>
    <w:rsid w:val="00C527E7"/>
    <w:rsid w:val="00C570D5"/>
    <w:rsid w:val="00C60A9A"/>
    <w:rsid w:val="00C621D1"/>
    <w:rsid w:val="00C62512"/>
    <w:rsid w:val="00C631F2"/>
    <w:rsid w:val="00C64073"/>
    <w:rsid w:val="00C64B2A"/>
    <w:rsid w:val="00C6766E"/>
    <w:rsid w:val="00C70A39"/>
    <w:rsid w:val="00C72B7A"/>
    <w:rsid w:val="00C72CD9"/>
    <w:rsid w:val="00C73468"/>
    <w:rsid w:val="00C74168"/>
    <w:rsid w:val="00C765EA"/>
    <w:rsid w:val="00C817D4"/>
    <w:rsid w:val="00C85768"/>
    <w:rsid w:val="00C85C92"/>
    <w:rsid w:val="00C8603A"/>
    <w:rsid w:val="00C9601B"/>
    <w:rsid w:val="00C96D87"/>
    <w:rsid w:val="00CA30F6"/>
    <w:rsid w:val="00CA3383"/>
    <w:rsid w:val="00CA4940"/>
    <w:rsid w:val="00CA54C6"/>
    <w:rsid w:val="00CA5DB6"/>
    <w:rsid w:val="00CB2B66"/>
    <w:rsid w:val="00CB31F7"/>
    <w:rsid w:val="00CB4170"/>
    <w:rsid w:val="00CC076D"/>
    <w:rsid w:val="00CC0DCE"/>
    <w:rsid w:val="00CC56E9"/>
    <w:rsid w:val="00CD12CF"/>
    <w:rsid w:val="00CD18D1"/>
    <w:rsid w:val="00CD1D1C"/>
    <w:rsid w:val="00CD27AB"/>
    <w:rsid w:val="00CD2F13"/>
    <w:rsid w:val="00CD2F9D"/>
    <w:rsid w:val="00CD39C2"/>
    <w:rsid w:val="00CD3D6D"/>
    <w:rsid w:val="00CE17E6"/>
    <w:rsid w:val="00CE2428"/>
    <w:rsid w:val="00CE3F79"/>
    <w:rsid w:val="00CE7901"/>
    <w:rsid w:val="00CF53F6"/>
    <w:rsid w:val="00CF685C"/>
    <w:rsid w:val="00CF7ABD"/>
    <w:rsid w:val="00D021EB"/>
    <w:rsid w:val="00D04331"/>
    <w:rsid w:val="00D058C1"/>
    <w:rsid w:val="00D10612"/>
    <w:rsid w:val="00D157D3"/>
    <w:rsid w:val="00D1669D"/>
    <w:rsid w:val="00D166CE"/>
    <w:rsid w:val="00D16B1D"/>
    <w:rsid w:val="00D21273"/>
    <w:rsid w:val="00D236BC"/>
    <w:rsid w:val="00D24876"/>
    <w:rsid w:val="00D250D0"/>
    <w:rsid w:val="00D25DA6"/>
    <w:rsid w:val="00D27E9F"/>
    <w:rsid w:val="00D301CE"/>
    <w:rsid w:val="00D314B6"/>
    <w:rsid w:val="00D3179D"/>
    <w:rsid w:val="00D32508"/>
    <w:rsid w:val="00D34345"/>
    <w:rsid w:val="00D43B6B"/>
    <w:rsid w:val="00D44BEB"/>
    <w:rsid w:val="00D470EA"/>
    <w:rsid w:val="00D501D4"/>
    <w:rsid w:val="00D51770"/>
    <w:rsid w:val="00D538D4"/>
    <w:rsid w:val="00D53F69"/>
    <w:rsid w:val="00D5516D"/>
    <w:rsid w:val="00D56A6D"/>
    <w:rsid w:val="00D579AE"/>
    <w:rsid w:val="00D61BDF"/>
    <w:rsid w:val="00D656F6"/>
    <w:rsid w:val="00D669E8"/>
    <w:rsid w:val="00D67D17"/>
    <w:rsid w:val="00D7065C"/>
    <w:rsid w:val="00D71ADC"/>
    <w:rsid w:val="00D72A4A"/>
    <w:rsid w:val="00D7308E"/>
    <w:rsid w:val="00D73657"/>
    <w:rsid w:val="00D758E6"/>
    <w:rsid w:val="00D76443"/>
    <w:rsid w:val="00D8054E"/>
    <w:rsid w:val="00D80AEC"/>
    <w:rsid w:val="00D81FED"/>
    <w:rsid w:val="00D84FA6"/>
    <w:rsid w:val="00D85692"/>
    <w:rsid w:val="00D90D55"/>
    <w:rsid w:val="00D91DB6"/>
    <w:rsid w:val="00D91EB2"/>
    <w:rsid w:val="00D93ACA"/>
    <w:rsid w:val="00D944C2"/>
    <w:rsid w:val="00DA25BA"/>
    <w:rsid w:val="00DA59D5"/>
    <w:rsid w:val="00DA5AA1"/>
    <w:rsid w:val="00DA68E0"/>
    <w:rsid w:val="00DB0673"/>
    <w:rsid w:val="00DB1117"/>
    <w:rsid w:val="00DB1629"/>
    <w:rsid w:val="00DB3427"/>
    <w:rsid w:val="00DB49B9"/>
    <w:rsid w:val="00DB515B"/>
    <w:rsid w:val="00DC1C56"/>
    <w:rsid w:val="00DC2F31"/>
    <w:rsid w:val="00DC5047"/>
    <w:rsid w:val="00DD328B"/>
    <w:rsid w:val="00DE00C5"/>
    <w:rsid w:val="00DE0B77"/>
    <w:rsid w:val="00DE20A0"/>
    <w:rsid w:val="00DE4DAA"/>
    <w:rsid w:val="00DE5597"/>
    <w:rsid w:val="00DE799B"/>
    <w:rsid w:val="00DF06DE"/>
    <w:rsid w:val="00DF1B7B"/>
    <w:rsid w:val="00DF6C5C"/>
    <w:rsid w:val="00DF71FD"/>
    <w:rsid w:val="00E00C1A"/>
    <w:rsid w:val="00E00C4B"/>
    <w:rsid w:val="00E016C1"/>
    <w:rsid w:val="00E01DD2"/>
    <w:rsid w:val="00E02615"/>
    <w:rsid w:val="00E026CB"/>
    <w:rsid w:val="00E0349E"/>
    <w:rsid w:val="00E073A8"/>
    <w:rsid w:val="00E07753"/>
    <w:rsid w:val="00E14335"/>
    <w:rsid w:val="00E17D23"/>
    <w:rsid w:val="00E201EB"/>
    <w:rsid w:val="00E20A60"/>
    <w:rsid w:val="00E2355E"/>
    <w:rsid w:val="00E271DB"/>
    <w:rsid w:val="00E30FDB"/>
    <w:rsid w:val="00E32A01"/>
    <w:rsid w:val="00E32F2B"/>
    <w:rsid w:val="00E35110"/>
    <w:rsid w:val="00E358FB"/>
    <w:rsid w:val="00E373B1"/>
    <w:rsid w:val="00E41F0D"/>
    <w:rsid w:val="00E431A9"/>
    <w:rsid w:val="00E44660"/>
    <w:rsid w:val="00E44C41"/>
    <w:rsid w:val="00E46A35"/>
    <w:rsid w:val="00E50187"/>
    <w:rsid w:val="00E50799"/>
    <w:rsid w:val="00E51550"/>
    <w:rsid w:val="00E53595"/>
    <w:rsid w:val="00E556ED"/>
    <w:rsid w:val="00E56616"/>
    <w:rsid w:val="00E569D1"/>
    <w:rsid w:val="00E56F78"/>
    <w:rsid w:val="00E57F22"/>
    <w:rsid w:val="00E600DC"/>
    <w:rsid w:val="00E638C8"/>
    <w:rsid w:val="00E65097"/>
    <w:rsid w:val="00E703C1"/>
    <w:rsid w:val="00E7204C"/>
    <w:rsid w:val="00E73023"/>
    <w:rsid w:val="00E75184"/>
    <w:rsid w:val="00E75A1C"/>
    <w:rsid w:val="00E844D7"/>
    <w:rsid w:val="00E85971"/>
    <w:rsid w:val="00E869C6"/>
    <w:rsid w:val="00E9055E"/>
    <w:rsid w:val="00E92559"/>
    <w:rsid w:val="00E953C7"/>
    <w:rsid w:val="00E96B71"/>
    <w:rsid w:val="00E975B7"/>
    <w:rsid w:val="00EA0C0F"/>
    <w:rsid w:val="00EA63BD"/>
    <w:rsid w:val="00EA6661"/>
    <w:rsid w:val="00EA714C"/>
    <w:rsid w:val="00EB0000"/>
    <w:rsid w:val="00EB0D3F"/>
    <w:rsid w:val="00EB0E83"/>
    <w:rsid w:val="00EB19D6"/>
    <w:rsid w:val="00EB53A7"/>
    <w:rsid w:val="00EB678D"/>
    <w:rsid w:val="00EC14AD"/>
    <w:rsid w:val="00EC4FE7"/>
    <w:rsid w:val="00EC6D94"/>
    <w:rsid w:val="00ED1DC8"/>
    <w:rsid w:val="00ED5009"/>
    <w:rsid w:val="00ED678B"/>
    <w:rsid w:val="00ED752C"/>
    <w:rsid w:val="00EE0A2D"/>
    <w:rsid w:val="00EE3254"/>
    <w:rsid w:val="00EE34B1"/>
    <w:rsid w:val="00EE393A"/>
    <w:rsid w:val="00EE43EA"/>
    <w:rsid w:val="00EE4661"/>
    <w:rsid w:val="00EE63CB"/>
    <w:rsid w:val="00EF4343"/>
    <w:rsid w:val="00EF6524"/>
    <w:rsid w:val="00EF68A4"/>
    <w:rsid w:val="00F01E7E"/>
    <w:rsid w:val="00F038F8"/>
    <w:rsid w:val="00F04676"/>
    <w:rsid w:val="00F05B16"/>
    <w:rsid w:val="00F10291"/>
    <w:rsid w:val="00F11E22"/>
    <w:rsid w:val="00F15F57"/>
    <w:rsid w:val="00F24104"/>
    <w:rsid w:val="00F253C8"/>
    <w:rsid w:val="00F25CF7"/>
    <w:rsid w:val="00F261D1"/>
    <w:rsid w:val="00F30CFB"/>
    <w:rsid w:val="00F315FA"/>
    <w:rsid w:val="00F3394B"/>
    <w:rsid w:val="00F365BE"/>
    <w:rsid w:val="00F36AA5"/>
    <w:rsid w:val="00F4074A"/>
    <w:rsid w:val="00F42D8A"/>
    <w:rsid w:val="00F44587"/>
    <w:rsid w:val="00F45A43"/>
    <w:rsid w:val="00F476B6"/>
    <w:rsid w:val="00F5140B"/>
    <w:rsid w:val="00F51523"/>
    <w:rsid w:val="00F60A88"/>
    <w:rsid w:val="00F627F2"/>
    <w:rsid w:val="00F64FEB"/>
    <w:rsid w:val="00F6604C"/>
    <w:rsid w:val="00F66141"/>
    <w:rsid w:val="00F6724A"/>
    <w:rsid w:val="00F72D8F"/>
    <w:rsid w:val="00F73675"/>
    <w:rsid w:val="00F75544"/>
    <w:rsid w:val="00F76A84"/>
    <w:rsid w:val="00F86E63"/>
    <w:rsid w:val="00F900F3"/>
    <w:rsid w:val="00F92B2F"/>
    <w:rsid w:val="00F93470"/>
    <w:rsid w:val="00F94937"/>
    <w:rsid w:val="00F9501C"/>
    <w:rsid w:val="00F95408"/>
    <w:rsid w:val="00FA1BC6"/>
    <w:rsid w:val="00FA2D97"/>
    <w:rsid w:val="00FA4B70"/>
    <w:rsid w:val="00FA61D1"/>
    <w:rsid w:val="00FA6301"/>
    <w:rsid w:val="00FA71E4"/>
    <w:rsid w:val="00FB1317"/>
    <w:rsid w:val="00FB14C8"/>
    <w:rsid w:val="00FB1E3F"/>
    <w:rsid w:val="00FB2484"/>
    <w:rsid w:val="00FB2DA6"/>
    <w:rsid w:val="00FB484B"/>
    <w:rsid w:val="00FB544A"/>
    <w:rsid w:val="00FC0D98"/>
    <w:rsid w:val="00FD5701"/>
    <w:rsid w:val="00FD6553"/>
    <w:rsid w:val="00FD6B49"/>
    <w:rsid w:val="00FE0178"/>
    <w:rsid w:val="00FE1562"/>
    <w:rsid w:val="00FE28CA"/>
    <w:rsid w:val="00FE44A7"/>
    <w:rsid w:val="00FE44AD"/>
    <w:rsid w:val="00FE69CA"/>
    <w:rsid w:val="00FE7A91"/>
    <w:rsid w:val="00FF022A"/>
    <w:rsid w:val="00FF0706"/>
    <w:rsid w:val="00FF223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5B34846-5CBE-482D-8EDE-C38BC53A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4D46"/>
    <w:rPr>
      <w:rFonts w:ascii="Arial" w:hAnsi="Arial"/>
      <w:sz w:val="22"/>
      <w:szCs w:val="22"/>
    </w:rPr>
  </w:style>
  <w:style w:type="paragraph" w:styleId="Nadpis1">
    <w:name w:val="heading 1"/>
    <w:aliases w:val="h1,Heading1,1,11,12,111,13,112,121,1111,RFP,Aliatel,JK Chapter,AL Chapter,A,PA Chapter"/>
    <w:basedOn w:val="Normln"/>
    <w:next w:val="Normln"/>
    <w:qFormat/>
    <w:rsid w:val="00F73675"/>
    <w:pPr>
      <w:keepNext/>
      <w:numPr>
        <w:numId w:val="20"/>
      </w:numPr>
      <w:outlineLvl w:val="0"/>
    </w:pPr>
    <w:rPr>
      <w:snapToGrid w:val="0"/>
      <w:sz w:val="24"/>
    </w:rPr>
  </w:style>
  <w:style w:type="paragraph" w:styleId="Nadpis2">
    <w:name w:val="heading 2"/>
    <w:aliases w:val="h2,Heading2,2,21,22,211,RFP Aliatel,JK Major Section,AL Major Section,H2,B,PA Major Section"/>
    <w:basedOn w:val="Normln"/>
    <w:next w:val="Normln"/>
    <w:qFormat/>
    <w:rsid w:val="00F73675"/>
    <w:pPr>
      <w:keepNext/>
      <w:numPr>
        <w:ilvl w:val="1"/>
        <w:numId w:val="19"/>
      </w:numPr>
      <w:jc w:val="center"/>
      <w:outlineLvl w:val="1"/>
    </w:pPr>
    <w:rPr>
      <w:snapToGrid w:val="0"/>
    </w:rPr>
  </w:style>
  <w:style w:type="paragraph" w:styleId="Nadpis3">
    <w:name w:val="heading 3"/>
    <w:aliases w:val="h3,l3,Heading3,3,31"/>
    <w:basedOn w:val="Normln"/>
    <w:next w:val="Normln"/>
    <w:qFormat/>
    <w:rsid w:val="00F73675"/>
    <w:pPr>
      <w:keepNext/>
      <w:outlineLvl w:val="2"/>
    </w:pPr>
    <w:rPr>
      <w:b/>
      <w:snapToGrid w:val="0"/>
      <w:color w:val="FF0000"/>
      <w:sz w:val="24"/>
    </w:rPr>
  </w:style>
  <w:style w:type="paragraph" w:styleId="Nadpis4">
    <w:name w:val="heading 4"/>
    <w:aliases w:val="h4,Heading4,4,41,Nadpis 4a"/>
    <w:basedOn w:val="Normln"/>
    <w:next w:val="Normln"/>
    <w:qFormat/>
    <w:rsid w:val="00F73675"/>
    <w:pPr>
      <w:keepNext/>
      <w:ind w:left="57"/>
      <w:outlineLvl w:val="3"/>
    </w:pPr>
    <w:rPr>
      <w:i/>
      <w:snapToGrid w:val="0"/>
    </w:rPr>
  </w:style>
  <w:style w:type="paragraph" w:styleId="Nadpis5">
    <w:name w:val="heading 5"/>
    <w:aliases w:val="5,51"/>
    <w:basedOn w:val="Normln"/>
    <w:next w:val="Normln"/>
    <w:qFormat/>
    <w:rsid w:val="00F73675"/>
    <w:pPr>
      <w:keepNext/>
      <w:outlineLvl w:val="4"/>
    </w:pPr>
    <w:rPr>
      <w:i/>
      <w:snapToGrid w:val="0"/>
    </w:rPr>
  </w:style>
  <w:style w:type="paragraph" w:styleId="Nadpis6">
    <w:name w:val="heading 6"/>
    <w:aliases w:val="6"/>
    <w:basedOn w:val="Normln"/>
    <w:next w:val="Normln"/>
    <w:qFormat/>
    <w:rsid w:val="00F73675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Nadpis7">
    <w:name w:val="heading 7"/>
    <w:aliases w:val="7,Objective,req3,heading&#10;7,heading7"/>
    <w:basedOn w:val="Normln"/>
    <w:next w:val="Normln"/>
    <w:qFormat/>
    <w:rsid w:val="00F73675"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73675"/>
    <w:pPr>
      <w:keepNext/>
      <w:numPr>
        <w:ilvl w:val="7"/>
        <w:numId w:val="1"/>
      </w:numPr>
      <w:spacing w:line="360" w:lineRule="atLeast"/>
      <w:jc w:val="right"/>
      <w:outlineLvl w:val="7"/>
    </w:pPr>
    <w:rPr>
      <w:spacing w:val="5"/>
      <w:sz w:val="24"/>
    </w:rPr>
  </w:style>
  <w:style w:type="paragraph" w:styleId="Nadpis9">
    <w:name w:val="heading 9"/>
    <w:basedOn w:val="Normln"/>
    <w:next w:val="Normln"/>
    <w:qFormat/>
    <w:rsid w:val="00F73675"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36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36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3675"/>
  </w:style>
  <w:style w:type="paragraph" w:styleId="Zkladntextodsazen">
    <w:name w:val="Body Text Indent"/>
    <w:basedOn w:val="Normln"/>
    <w:rsid w:val="00F73675"/>
    <w:pPr>
      <w:ind w:firstLine="284"/>
    </w:pPr>
    <w:rPr>
      <w:sz w:val="24"/>
    </w:rPr>
  </w:style>
  <w:style w:type="paragraph" w:customStyle="1" w:styleId="Adresa-1">
    <w:name w:val="Adresa-1"/>
    <w:basedOn w:val="Normln"/>
    <w:rsid w:val="00F73675"/>
    <w:pPr>
      <w:tabs>
        <w:tab w:val="left" w:pos="6237"/>
      </w:tabs>
    </w:pPr>
    <w:rPr>
      <w:sz w:val="24"/>
    </w:rPr>
  </w:style>
  <w:style w:type="paragraph" w:styleId="Zkladntextodsazen2">
    <w:name w:val="Body Text Indent 2"/>
    <w:basedOn w:val="Normln"/>
    <w:rsid w:val="00F73675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F73675"/>
    <w:pPr>
      <w:jc w:val="both"/>
    </w:pPr>
    <w:rPr>
      <w:sz w:val="24"/>
    </w:rPr>
  </w:style>
  <w:style w:type="paragraph" w:styleId="Zkladntext3">
    <w:name w:val="Body Text 3"/>
    <w:basedOn w:val="Normln"/>
    <w:rsid w:val="00F73675"/>
    <w:pPr>
      <w:jc w:val="both"/>
    </w:pPr>
    <w:rPr>
      <w:color w:val="FF0000"/>
      <w:sz w:val="24"/>
    </w:rPr>
  </w:style>
  <w:style w:type="paragraph" w:styleId="Zkladntextodsazen3">
    <w:name w:val="Body Text Indent 3"/>
    <w:basedOn w:val="Normln"/>
    <w:rsid w:val="00F73675"/>
    <w:pPr>
      <w:ind w:firstLine="708"/>
      <w:jc w:val="both"/>
    </w:pPr>
    <w:rPr>
      <w:sz w:val="24"/>
    </w:rPr>
  </w:style>
  <w:style w:type="character" w:styleId="Hypertextovodkaz">
    <w:name w:val="Hyperlink"/>
    <w:rsid w:val="00F73675"/>
    <w:rPr>
      <w:color w:val="0000FF"/>
      <w:u w:val="single"/>
    </w:rPr>
  </w:style>
  <w:style w:type="paragraph" w:styleId="Textpoznpodarou">
    <w:name w:val="footnote text"/>
    <w:basedOn w:val="Normln"/>
    <w:semiHidden/>
    <w:rsid w:val="00F73675"/>
    <w:rPr>
      <w:spacing w:val="10"/>
    </w:rPr>
  </w:style>
  <w:style w:type="character" w:styleId="Znakapoznpodarou">
    <w:name w:val="footnote reference"/>
    <w:semiHidden/>
    <w:rsid w:val="00F73675"/>
    <w:rPr>
      <w:vertAlign w:val="superscript"/>
    </w:rPr>
  </w:style>
  <w:style w:type="paragraph" w:styleId="Zkladntext2">
    <w:name w:val="Body Text 2"/>
    <w:basedOn w:val="Normln"/>
    <w:rsid w:val="00F73675"/>
    <w:pPr>
      <w:jc w:val="both"/>
    </w:pPr>
    <w:rPr>
      <w:sz w:val="24"/>
    </w:rPr>
  </w:style>
  <w:style w:type="paragraph" w:customStyle="1" w:styleId="HlavStyl">
    <w:name w:val="HlavStyl"/>
    <w:basedOn w:val="Normln"/>
    <w:rsid w:val="00F73675"/>
    <w:pPr>
      <w:spacing w:after="120"/>
      <w:jc w:val="both"/>
    </w:pPr>
  </w:style>
  <w:style w:type="character" w:styleId="slodku">
    <w:name w:val="line number"/>
    <w:basedOn w:val="Standardnpsmoodstavce"/>
    <w:rsid w:val="000076AD"/>
  </w:style>
  <w:style w:type="paragraph" w:styleId="Textbubliny">
    <w:name w:val="Balloon Text"/>
    <w:basedOn w:val="Normln"/>
    <w:semiHidden/>
    <w:rsid w:val="00FF07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E0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EE43EA"/>
    <w:rPr>
      <w:sz w:val="16"/>
      <w:szCs w:val="16"/>
    </w:rPr>
  </w:style>
  <w:style w:type="paragraph" w:styleId="Textkomente">
    <w:name w:val="annotation text"/>
    <w:basedOn w:val="Normln"/>
    <w:semiHidden/>
    <w:rsid w:val="00EE43E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E43EA"/>
    <w:rPr>
      <w:b/>
      <w:bCs/>
    </w:rPr>
  </w:style>
  <w:style w:type="paragraph" w:customStyle="1" w:styleId="CaracterCaracterCaracterCharCharCharCaracterCaracterCaracterCaracterCaracterChar">
    <w:name w:val="Caracter Caracter Caracter Char Char Char Caracter Caracter Caracter Caracter Caracter Char"/>
    <w:basedOn w:val="Normln"/>
    <w:rsid w:val="00710D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WW8Num4z1">
    <w:name w:val="WW8Num4z1"/>
    <w:rsid w:val="0074479E"/>
    <w:rPr>
      <w:rFonts w:ascii="Courier New" w:hAnsi="Courier New" w:cs="Courier New"/>
    </w:rPr>
  </w:style>
  <w:style w:type="paragraph" w:customStyle="1" w:styleId="Considrant">
    <w:name w:val="Considérant"/>
    <w:basedOn w:val="Normln"/>
    <w:rsid w:val="005C5882"/>
    <w:pPr>
      <w:numPr>
        <w:numId w:val="35"/>
      </w:num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A08"/>
    <w:pPr>
      <w:ind w:left="720"/>
      <w:contextualSpacing/>
    </w:pPr>
  </w:style>
  <w:style w:type="paragraph" w:customStyle="1" w:styleId="Default">
    <w:name w:val="Default"/>
    <w:rsid w:val="00506A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CB31F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3644D"/>
    <w:rPr>
      <w:rFonts w:ascii="Arial" w:hAnsi="Arial"/>
      <w:sz w:val="22"/>
      <w:szCs w:val="22"/>
    </w:rPr>
  </w:style>
  <w:style w:type="character" w:customStyle="1" w:styleId="Zmnka1">
    <w:name w:val="Zmínka1"/>
    <w:basedOn w:val="Standardnpsmoodstavce"/>
    <w:uiPriority w:val="99"/>
    <w:semiHidden/>
    <w:unhideWhenUsed/>
    <w:rsid w:val="00C621D1"/>
    <w:rPr>
      <w:color w:val="2B579A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BD1769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520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u.cz/sites/default/files/cs/download/oop/oop_04/bbmodel_aktualizace_2016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tu.cz/sites/default/files/cs/download/oop/oop_04/bbmodel_aktualizace_201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u.cz/cs/download/oop/oop_04/kolokace_30_03_2007.xl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C85F-33E9-478B-8C7A-D968C41A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668B6DF2.dotm</Template>
  <TotalTime>0</TotalTime>
  <Pages>9</Pages>
  <Words>3451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Praha</vt:lpstr>
    </vt:vector>
  </TitlesOfParts>
  <Company>CTU</Company>
  <LinksUpToDate>false</LinksUpToDate>
  <CharactersWithSpaces>23765</CharactersWithSpaces>
  <SharedDoc>false</SharedDoc>
  <HLinks>
    <vt:vector size="18" baseType="variant">
      <vt:variant>
        <vt:i4>393243</vt:i4>
      </vt:variant>
      <vt:variant>
        <vt:i4>6</vt:i4>
      </vt:variant>
      <vt:variant>
        <vt:i4>0</vt:i4>
      </vt:variant>
      <vt:variant>
        <vt:i4>5</vt:i4>
      </vt:variant>
      <vt:variant>
        <vt:lpwstr>http://www.ctu.cz/cs/download/art/tabulky/cen/tabulky_cen_04-xx_2013-y_navrh_05_03_2013_telefonica.pdf</vt:lpwstr>
      </vt:variant>
      <vt:variant>
        <vt:lpwstr/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http://www.ctu.cz/cs/download/oop/oop_04/kolokace_30_03_2007.xls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http://www.ctu.cz/cs/download/oop/oop_04/vosp_02-2013.zip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</dc:title>
  <dc:creator>O611</dc:creator>
  <cp:lastModifiedBy>ŠUBRT Pavel</cp:lastModifiedBy>
  <cp:revision>2</cp:revision>
  <cp:lastPrinted>2017-09-05T07:50:00Z</cp:lastPrinted>
  <dcterms:created xsi:type="dcterms:W3CDTF">2017-11-07T15:40:00Z</dcterms:created>
  <dcterms:modified xsi:type="dcterms:W3CDTF">2017-11-07T15:40:00Z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sah">
    <vt:lpwstr>CEN 4</vt:lpwstr>
  </property>
  <property fmtid="{D5CDD505-2E9C-101B-9397-08002B2CF9AE}" pid="3" name="Bod jednání">
    <vt:lpwstr>1</vt:lpwstr>
  </property>
  <property fmtid="{D5CDD505-2E9C-101B-9397-08002B2CF9AE}" pid="4" name="Odbor">
    <vt:lpwstr>611</vt:lpwstr>
  </property>
  <property fmtid="{D5CDD505-2E9C-101B-9397-08002B2CF9AE}" pid="5" name="Stav projednávání">
    <vt:lpwstr/>
  </property>
  <property fmtid="{D5CDD505-2E9C-101B-9397-08002B2CF9AE}" pid="6" name="ContentType">
    <vt:lpwstr>Dokument</vt:lpwstr>
  </property>
  <property fmtid="{D5CDD505-2E9C-101B-9397-08002B2CF9AE}" pid="7" name="Číslo protokolu">
    <vt:lpwstr/>
  </property>
  <property fmtid="{D5CDD505-2E9C-101B-9397-08002B2CF9AE}" pid="8" name="čj">
    <vt:lpwstr>2013.20</vt:lpwstr>
  </property>
  <property fmtid="{D5CDD505-2E9C-101B-9397-08002B2CF9AE}" pid="9" name="Datum zasedání">
    <vt:lpwstr>2013-04-24T00:00:00Z</vt:lpwstr>
  </property>
</Properties>
</file>