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F8878" w14:textId="77777777" w:rsidR="005A2070" w:rsidRPr="001B5318" w:rsidRDefault="005A2070" w:rsidP="005A2070">
      <w:pPr>
        <w:spacing w:before="1200"/>
        <w:ind w:left="5664" w:firstLine="709"/>
        <w:jc w:val="right"/>
      </w:pPr>
      <w:r w:rsidRPr="001B5318">
        <w:t xml:space="preserve">Praha </w:t>
      </w:r>
      <w:proofErr w:type="spellStart"/>
      <w:r w:rsidR="002A5D7F" w:rsidRPr="002A5D7F">
        <w:t>xx</w:t>
      </w:r>
      <w:proofErr w:type="spellEnd"/>
      <w:r w:rsidR="00174F05">
        <w:t>. srpna</w:t>
      </w:r>
      <w:r w:rsidRPr="002A5D7F">
        <w:t xml:space="preserve"> 2017</w:t>
      </w:r>
    </w:p>
    <w:p w14:paraId="0083132D" w14:textId="77777777" w:rsidR="005A2070" w:rsidRPr="001B5318" w:rsidRDefault="005A2070" w:rsidP="005A2070">
      <w:pPr>
        <w:spacing w:after="480"/>
        <w:jc w:val="right"/>
      </w:pPr>
      <w:r w:rsidRPr="001B5318">
        <w:t>Čj. ČTÚ-</w:t>
      </w:r>
      <w:r w:rsidR="002A5D7F">
        <w:rPr>
          <w:bCs/>
          <w:szCs w:val="22"/>
        </w:rPr>
        <w:t>41 366</w:t>
      </w:r>
      <w:r>
        <w:t>/2017-610/</w:t>
      </w:r>
      <w:r w:rsidRPr="001B5318">
        <w:t xml:space="preserve">. </w:t>
      </w:r>
      <w:proofErr w:type="spellStart"/>
      <w:r w:rsidRPr="001B5318">
        <w:t>vyř</w:t>
      </w:r>
      <w:proofErr w:type="spellEnd"/>
      <w:r w:rsidRPr="001B5318">
        <w:t>.</w:t>
      </w:r>
    </w:p>
    <w:p w14:paraId="3F8365F0" w14:textId="77777777" w:rsidR="005A2070" w:rsidRPr="001B5318" w:rsidRDefault="0010197C" w:rsidP="005A2070">
      <w:pPr>
        <w:pStyle w:val="Zkladntextodsazen"/>
        <w:spacing w:after="120"/>
        <w:ind w:firstLine="709"/>
      </w:pPr>
      <w:r w:rsidRPr="00CF45CE">
        <w:t xml:space="preserve">Rada Českého telekomunikačního úřadu (dále jen „Rada“) jako příslušný správní orgán podle § 39 odst. 8 a § 107 odst. 9 písm. b) bodu 4 zákona č. 127/2005 Sb., o elektronických komunikacích a o změně některých souvisejících </w:t>
      </w:r>
      <w:r>
        <w:t>zákonů</w:t>
      </w:r>
      <w:r w:rsidRPr="00CF45CE">
        <w:t xml:space="preserve"> (zákon o elektronických komunikacích), ve znění pozdějších předpisů (dále jen „Zákon“), podle § 10 zákona č. 500/2004 Sb., správní řád, ve znění pozdějších předpisů, a na základě výsledků výběrového řízení podle § 39 Zákona, vydává v řízení zahájeném z moci úřední se společností </w:t>
      </w:r>
      <w:r>
        <w:t>O2 Czech Republic</w:t>
      </w:r>
      <w:r w:rsidRPr="00CF45CE">
        <w:t xml:space="preserve"> a.s., se sídlem Za </w:t>
      </w:r>
      <w:proofErr w:type="spellStart"/>
      <w:r w:rsidRPr="00CF45CE">
        <w:t>Brumlovkou</w:t>
      </w:r>
      <w:proofErr w:type="spellEnd"/>
      <w:r w:rsidRPr="00CF45CE">
        <w:t xml:space="preserve"> 266/2, 140 22 Praha 4 – Michle, IČO: 60193336, ve věci uložení povinnosti v rámci univerzální služby </w:t>
      </w:r>
      <w:r w:rsidRPr="0010197C">
        <w:t>poskytovat dílčí službu – služby veřejných telefonních automatů nebo jiných obdobných technických prostředků umožňujících přístup k</w:t>
      </w:r>
      <w:r>
        <w:t> </w:t>
      </w:r>
      <w:r w:rsidRPr="0010197C">
        <w:t>veřejně dostupné telefonní službě podle § 38 odst. 2 písm. e) Zákona</w:t>
      </w:r>
      <w:r w:rsidRPr="00CF45CE">
        <w:t>, toto</w:t>
      </w:r>
      <w:r w:rsidR="005A2070" w:rsidRPr="001B5318">
        <w:t xml:space="preserve"> </w:t>
      </w:r>
    </w:p>
    <w:p w14:paraId="2EEA71B2" w14:textId="77777777" w:rsidR="0010197C" w:rsidRDefault="005A2070" w:rsidP="005A2070">
      <w:pPr>
        <w:spacing w:after="120"/>
        <w:rPr>
          <w:b/>
        </w:rPr>
      </w:pPr>
      <w:r w:rsidRPr="001B5318">
        <w:rPr>
          <w:b/>
        </w:rPr>
        <w:t>rozhodnutí o uložení povinnosti v rámci univerzální služby</w:t>
      </w:r>
      <w:r w:rsidR="0010197C">
        <w:rPr>
          <w:b/>
        </w:rPr>
        <w:t>:</w:t>
      </w:r>
    </w:p>
    <w:p w14:paraId="73187FDE" w14:textId="77777777" w:rsidR="005A2070" w:rsidRPr="001B5318" w:rsidRDefault="005A2070" w:rsidP="005A2070">
      <w:pPr>
        <w:spacing w:after="120"/>
        <w:rPr>
          <w:b/>
          <w:highlight w:val="green"/>
        </w:rPr>
      </w:pPr>
      <w:r w:rsidRPr="001B5318">
        <w:rPr>
          <w:b/>
        </w:rPr>
        <w:t>poskytovat dílčí službu – služby veřejných telefonních automatů nebo jiných obdobných technických prostředků umožňujících přístup k veřejně dostupné telefonní službě podle § 38 odst. 2 písm. e) Zákona (dále jen „Povinnost“)</w:t>
      </w:r>
    </w:p>
    <w:p w14:paraId="0DEE6F6C" w14:textId="77777777" w:rsidR="005A2070" w:rsidRPr="001B5318" w:rsidRDefault="005A2070" w:rsidP="005A2070">
      <w:pPr>
        <w:spacing w:line="360" w:lineRule="auto"/>
        <w:rPr>
          <w:b/>
        </w:rPr>
      </w:pPr>
      <w:r w:rsidRPr="001B5318">
        <w:rPr>
          <w:b/>
        </w:rPr>
        <w:t xml:space="preserve">společnosti: </w:t>
      </w:r>
      <w:r w:rsidRPr="001B5318">
        <w:rPr>
          <w:b/>
        </w:rPr>
        <w:tab/>
      </w:r>
      <w:r w:rsidRPr="001B5318">
        <w:rPr>
          <w:b/>
        </w:rPr>
        <w:tab/>
        <w:t xml:space="preserve"> </w:t>
      </w:r>
      <w:r w:rsidRPr="001B5318">
        <w:rPr>
          <w:b/>
          <w:bCs/>
          <w:szCs w:val="22"/>
        </w:rPr>
        <w:t>O2 Czech Republic a.s.</w:t>
      </w:r>
      <w:r w:rsidRPr="001B5318">
        <w:rPr>
          <w:b/>
        </w:rPr>
        <w:t xml:space="preserve"> </w:t>
      </w:r>
    </w:p>
    <w:p w14:paraId="0F353ACF" w14:textId="77777777" w:rsidR="005A2070" w:rsidRPr="001B5318" w:rsidRDefault="005A2070" w:rsidP="005A2070">
      <w:pPr>
        <w:spacing w:line="360" w:lineRule="auto"/>
        <w:rPr>
          <w:b/>
        </w:rPr>
      </w:pPr>
      <w:r w:rsidRPr="001B5318">
        <w:rPr>
          <w:b/>
        </w:rPr>
        <w:t>se sídlem:</w:t>
      </w:r>
      <w:r w:rsidRPr="001B5318">
        <w:rPr>
          <w:b/>
        </w:rPr>
        <w:tab/>
      </w:r>
      <w:r w:rsidRPr="001B5318">
        <w:rPr>
          <w:b/>
        </w:rPr>
        <w:tab/>
        <w:t xml:space="preserve"> Praha 4 </w:t>
      </w:r>
      <w:r w:rsidRPr="001B5318">
        <w:t>–</w:t>
      </w:r>
      <w:r w:rsidRPr="001B5318">
        <w:rPr>
          <w:b/>
        </w:rPr>
        <w:t xml:space="preserve"> Michle, Za </w:t>
      </w:r>
      <w:proofErr w:type="spellStart"/>
      <w:r w:rsidRPr="001B5318">
        <w:rPr>
          <w:b/>
        </w:rPr>
        <w:t>Brumlovkou</w:t>
      </w:r>
      <w:proofErr w:type="spellEnd"/>
      <w:r w:rsidRPr="001B5318">
        <w:rPr>
          <w:b/>
        </w:rPr>
        <w:t xml:space="preserve"> 266/2, PSČ 140 22</w:t>
      </w:r>
    </w:p>
    <w:p w14:paraId="081DD000" w14:textId="77777777" w:rsidR="005A2070" w:rsidRPr="001B5318" w:rsidRDefault="005A2070" w:rsidP="005A2070">
      <w:pPr>
        <w:spacing w:line="360" w:lineRule="auto"/>
        <w:rPr>
          <w:b/>
        </w:rPr>
      </w:pPr>
      <w:r w:rsidRPr="001B5318">
        <w:rPr>
          <w:b/>
        </w:rPr>
        <w:t>identifikační číslo:</w:t>
      </w:r>
      <w:r w:rsidRPr="001B5318">
        <w:rPr>
          <w:b/>
        </w:rPr>
        <w:tab/>
        <w:t xml:space="preserve"> 60193336</w:t>
      </w:r>
    </w:p>
    <w:p w14:paraId="7AC13756" w14:textId="77777777" w:rsidR="005A2070" w:rsidRPr="001B5318" w:rsidRDefault="005A2070" w:rsidP="005A2070">
      <w:pPr>
        <w:spacing w:after="120"/>
      </w:pPr>
      <w:r w:rsidRPr="001B5318">
        <w:t>(dále jen „poskytovatel“) v dále uvedeném rozsahu a za dále uvedených podmínek.</w:t>
      </w:r>
    </w:p>
    <w:p w14:paraId="6174C5F1" w14:textId="77777777" w:rsidR="005A2070" w:rsidRPr="001B5318" w:rsidRDefault="005A2070" w:rsidP="005A2070">
      <w:pPr>
        <w:keepNext/>
        <w:spacing w:after="120"/>
        <w:jc w:val="center"/>
        <w:rPr>
          <w:b/>
        </w:rPr>
      </w:pPr>
      <w:r w:rsidRPr="001B5318">
        <w:rPr>
          <w:b/>
        </w:rPr>
        <w:t>I.</w:t>
      </w:r>
    </w:p>
    <w:p w14:paraId="57DA9760" w14:textId="77777777" w:rsidR="005A2070" w:rsidRPr="001B5318" w:rsidRDefault="005A2070" w:rsidP="005A2070">
      <w:pPr>
        <w:shd w:val="clear" w:color="auto" w:fill="FFFFFF"/>
        <w:tabs>
          <w:tab w:val="left" w:pos="360"/>
        </w:tabs>
        <w:spacing w:after="120"/>
        <w:ind w:firstLine="709"/>
        <w:rPr>
          <w:bCs/>
          <w:szCs w:val="22"/>
        </w:rPr>
      </w:pPr>
      <w:r w:rsidRPr="001B5318">
        <w:rPr>
          <w:bCs/>
          <w:szCs w:val="22"/>
        </w:rPr>
        <w:t>Poskytovatel je při plnění Povinnosti povinen provozovat veřejné telefonní automaty nebo jiné obdobné technické prostředky (dále jen „VTA“) a poskytovat službu VTA v takovém rozsahu, aby byla zajištěna dostupnost dílčí služby na celém území České Republiky za následujících podmínek:</w:t>
      </w:r>
    </w:p>
    <w:p w14:paraId="77EE1C22" w14:textId="77777777" w:rsidR="000B2ED7" w:rsidRDefault="000B2ED7" w:rsidP="000B2E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od 1. ledna 2018: </w:t>
      </w:r>
    </w:p>
    <w:p w14:paraId="04BA3187" w14:textId="77777777" w:rsidR="000B2ED7" w:rsidRPr="00F94E85" w:rsidRDefault="000B2ED7" w:rsidP="000B2ED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F94E85">
        <w:rPr>
          <w:rFonts w:cs="Arial"/>
          <w:szCs w:val="22"/>
        </w:rPr>
        <w:t xml:space="preserve">v každé obci do </w:t>
      </w:r>
      <w:r>
        <w:rPr>
          <w:rFonts w:cs="Arial"/>
          <w:szCs w:val="22"/>
        </w:rPr>
        <w:t>699</w:t>
      </w:r>
      <w:r w:rsidRPr="00F94E85">
        <w:rPr>
          <w:rFonts w:cs="Arial"/>
          <w:szCs w:val="22"/>
        </w:rPr>
        <w:t xml:space="preserve"> obyvatel provozovat 1 VTA s tím, že tato povinnost bude splněna i provozováním </w:t>
      </w:r>
      <w:r>
        <w:rPr>
          <w:rFonts w:cs="Arial"/>
          <w:szCs w:val="22"/>
        </w:rPr>
        <w:t>veřejné telefonní stanice (dále jen „</w:t>
      </w:r>
      <w:r w:rsidRPr="00F94E85">
        <w:rPr>
          <w:rFonts w:cs="Arial"/>
          <w:szCs w:val="22"/>
        </w:rPr>
        <w:t>VTS</w:t>
      </w:r>
      <w:r>
        <w:rPr>
          <w:rFonts w:cs="Arial"/>
          <w:szCs w:val="22"/>
        </w:rPr>
        <w:t>“)</w:t>
      </w:r>
      <w:r w:rsidRPr="00F94E85">
        <w:rPr>
          <w:rFonts w:cs="Arial"/>
          <w:szCs w:val="22"/>
        </w:rPr>
        <w:t xml:space="preserve"> nebo jiného obdobného technického prostředku</w:t>
      </w:r>
      <w:r>
        <w:rPr>
          <w:rFonts w:cs="Arial"/>
          <w:szCs w:val="22"/>
        </w:rPr>
        <w:t>;</w:t>
      </w:r>
    </w:p>
    <w:p w14:paraId="760AAE2E" w14:textId="77777777" w:rsidR="000B2ED7" w:rsidRDefault="000B2ED7" w:rsidP="000B2ED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F94E85">
        <w:rPr>
          <w:rFonts w:cs="Arial"/>
          <w:szCs w:val="22"/>
        </w:rPr>
        <w:t xml:space="preserve">v každé obci od </w:t>
      </w:r>
      <w:r>
        <w:rPr>
          <w:rFonts w:cs="Arial"/>
          <w:szCs w:val="22"/>
        </w:rPr>
        <w:t>700</w:t>
      </w:r>
      <w:r w:rsidRPr="00F94E85">
        <w:rPr>
          <w:rFonts w:cs="Arial"/>
          <w:szCs w:val="22"/>
        </w:rPr>
        <w:t xml:space="preserve"> obyvatel do 4 999 obyvatel bude poskytovatel univerzální služby provozovat 1 VTA nebo jiný obdobný technický prostředek v případě, že lokalita není pokryta si</w:t>
      </w:r>
      <w:r>
        <w:rPr>
          <w:rFonts w:cs="Arial"/>
          <w:szCs w:val="22"/>
        </w:rPr>
        <w:t>gnálem GSM v dostatečné kvalitě;</w:t>
      </w:r>
    </w:p>
    <w:p w14:paraId="12C90603" w14:textId="77777777" w:rsidR="000B2ED7" w:rsidRDefault="000B2ED7" w:rsidP="000B2E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od 1. ledna 2019:</w:t>
      </w:r>
    </w:p>
    <w:p w14:paraId="44F858C3" w14:textId="77777777" w:rsidR="000B2ED7" w:rsidRPr="00F94E85" w:rsidRDefault="000B2ED7" w:rsidP="000B2E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>v každé obci do 3</w:t>
      </w:r>
      <w:r w:rsidRPr="00F94E85">
        <w:rPr>
          <w:rFonts w:cs="Arial"/>
          <w:szCs w:val="22"/>
        </w:rPr>
        <w:t>99 obyvatel provozovat 1 VTA s tím, že tato povinnost bude splněna i provozováním VTS nebo jiného obdobného technického prostředku</w:t>
      </w:r>
      <w:r>
        <w:rPr>
          <w:rFonts w:cs="Arial"/>
          <w:szCs w:val="22"/>
        </w:rPr>
        <w:t>;</w:t>
      </w:r>
    </w:p>
    <w:p w14:paraId="0672091C" w14:textId="77777777" w:rsidR="000B2ED7" w:rsidRPr="00811DD3" w:rsidRDefault="000B2ED7" w:rsidP="000B2E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811DD3">
        <w:rPr>
          <w:rFonts w:cs="Arial"/>
          <w:szCs w:val="22"/>
        </w:rPr>
        <w:t>v každé obci od 400 obyvatel do 4 999 obyvatel bude poskytovatel univerzální služby provozovat 1 VTA nebo jiný obdobný technický prostředek v případě, že lokalita není pokryta signálem GSM v dostatečné kvalitě;</w:t>
      </w:r>
    </w:p>
    <w:p w14:paraId="5FD42999" w14:textId="77777777" w:rsidR="000B2ED7" w:rsidRDefault="000B2ED7" w:rsidP="000B2E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340" w:hanging="340"/>
      </w:pPr>
      <w:r>
        <w:t>od 1. ledna 2020:</w:t>
      </w:r>
    </w:p>
    <w:p w14:paraId="694CB5C9" w14:textId="77777777" w:rsidR="000B2ED7" w:rsidRDefault="000B2ED7" w:rsidP="000B2ED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09" w:hanging="349"/>
      </w:pPr>
      <w:r>
        <w:t xml:space="preserve">1. </w:t>
      </w:r>
      <w:r>
        <w:tab/>
        <w:t>v každé obci do 199 obyvatel provozovat 1 VTA s tím, že tato povinnost bude splněna i provozováním VTS nebo jiného obdobného technického prostředku;</w:t>
      </w:r>
    </w:p>
    <w:p w14:paraId="3EE6CCBE" w14:textId="77777777" w:rsidR="000B2ED7" w:rsidRDefault="000B2ED7" w:rsidP="000B2ED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09" w:hanging="349"/>
      </w:pPr>
      <w:r>
        <w:lastRenderedPageBreak/>
        <w:t>2.</w:t>
      </w:r>
      <w:r>
        <w:tab/>
        <w:t>v každé obci od 200 obyvatel do 4 999 obyvatel bude poskytovatel univerzální služby provozovat 1 VTA nebo jiný obdobný technický prostředek v případě, že lokalita není pokryta signálem GSM v dostatečné kvalitě.</w:t>
      </w:r>
    </w:p>
    <w:p w14:paraId="37495E01" w14:textId="77777777" w:rsidR="000B2ED7" w:rsidRPr="00C71F8B" w:rsidRDefault="000B2ED7" w:rsidP="000B2ED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</w:pPr>
      <w:r>
        <w:t>Při posuzování pokrytí konkrétních lokalit signálem GSM Úřad hodnotí dostupnost signálu alespoň dvou operátorů sítí GSM na místech, kde je instalován VTA. Posuzuje se stav ve všech obcích v příslušné velikostní kategorii. Úrovně signálů GSM pro zajištění pokrytí stanovuje doporučení CEPT/ECC/REC (05)08</w:t>
      </w:r>
      <w:r w:rsidR="008A73B9">
        <w:t>.</w:t>
      </w:r>
    </w:p>
    <w:p w14:paraId="14A8230F" w14:textId="77777777" w:rsidR="000B2ED7" w:rsidRPr="00A136E3" w:rsidRDefault="000B2ED7" w:rsidP="000B2ED7">
      <w:pPr>
        <w:pStyle w:val="Odstavecseseznamem"/>
        <w:numPr>
          <w:ilvl w:val="0"/>
          <w:numId w:val="2"/>
        </w:numPr>
        <w:ind w:left="340" w:hanging="340"/>
        <w:jc w:val="both"/>
        <w:rPr>
          <w:rFonts w:cs="Arial"/>
          <w:szCs w:val="22"/>
        </w:rPr>
      </w:pPr>
      <w:r w:rsidRPr="00F23F3C">
        <w:rPr>
          <w:rFonts w:cs="Arial"/>
          <w:szCs w:val="22"/>
        </w:rPr>
        <w:t>v případě změny umístění stávajících VTA nebo jiných obdobných technických prostředků, provozovaných podle výše uvedených podmínek, respektovat oprávněné požadavky příslušných orgánů územní samosprávy, jako je docházková vzdálenost k</w:t>
      </w:r>
      <w:r>
        <w:rPr>
          <w:rFonts w:cs="Arial"/>
          <w:szCs w:val="22"/>
        </w:rPr>
        <w:t> </w:t>
      </w:r>
      <w:r w:rsidRPr="00F23F3C">
        <w:rPr>
          <w:rFonts w:cs="Arial"/>
          <w:szCs w:val="22"/>
        </w:rPr>
        <w:t>VTA, vybavení VTA pro potřeby zdravotně postiže</w:t>
      </w:r>
      <w:r>
        <w:rPr>
          <w:rFonts w:cs="Arial"/>
          <w:szCs w:val="22"/>
        </w:rPr>
        <w:t>ných občanů nebo umístění VTA v </w:t>
      </w:r>
      <w:r w:rsidRPr="00F23F3C">
        <w:rPr>
          <w:rFonts w:cs="Arial"/>
          <w:szCs w:val="22"/>
        </w:rPr>
        <w:t>objektech veřejného významu</w:t>
      </w:r>
      <w:r>
        <w:rPr>
          <w:rFonts w:cs="Arial"/>
          <w:szCs w:val="22"/>
        </w:rPr>
        <w:t>;</w:t>
      </w:r>
    </w:p>
    <w:p w14:paraId="1155AFFF" w14:textId="77777777" w:rsidR="000B2ED7" w:rsidRDefault="000B2ED7" w:rsidP="000B2E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zabezpečovat </w:t>
      </w:r>
      <w:r>
        <w:t xml:space="preserve">bezplatný přístup uživatelů k VTA </w:t>
      </w:r>
      <w:r>
        <w:rPr>
          <w:rFonts w:cs="Arial"/>
          <w:szCs w:val="22"/>
        </w:rPr>
        <w:t>nebo k jiným obdobným</w:t>
      </w:r>
      <w:r w:rsidRPr="002A60F1">
        <w:rPr>
          <w:rFonts w:cs="Arial"/>
          <w:szCs w:val="22"/>
        </w:rPr>
        <w:t xml:space="preserve"> technickým prostředkům a zajistit pro uživatele nepřetržitou funkčnost VTA nebo jiných obdobných technických prostředků</w:t>
      </w:r>
      <w:r>
        <w:rPr>
          <w:rFonts w:cs="Arial"/>
          <w:szCs w:val="22"/>
        </w:rPr>
        <w:t>;</w:t>
      </w:r>
    </w:p>
    <w:p w14:paraId="1F4D904C" w14:textId="77777777" w:rsidR="000B2ED7" w:rsidRDefault="000B2ED7" w:rsidP="000B2ED7">
      <w:pPr>
        <w:pStyle w:val="Odstavecseseznamem"/>
        <w:numPr>
          <w:ilvl w:val="0"/>
          <w:numId w:val="2"/>
        </w:numPr>
        <w:ind w:left="340" w:hanging="340"/>
        <w:jc w:val="both"/>
        <w:rPr>
          <w:rFonts w:cs="Arial"/>
          <w:szCs w:val="22"/>
        </w:rPr>
      </w:pPr>
      <w:r w:rsidRPr="00FA1E41">
        <w:rPr>
          <w:rFonts w:cs="Arial"/>
          <w:szCs w:val="22"/>
        </w:rPr>
        <w:t>zajistit možnost uskutečňovat tísňová volání z VTA nebo jiných obdobných technických prostředků s použitím evropského čísla tísňového volání „112“ a národních čísel tísňového volání bez nutnosti použití platebních prostředků</w:t>
      </w:r>
      <w:r>
        <w:rPr>
          <w:rFonts w:cs="Arial"/>
          <w:szCs w:val="22"/>
        </w:rPr>
        <w:t>;</w:t>
      </w:r>
    </w:p>
    <w:p w14:paraId="7DA57219" w14:textId="77777777" w:rsidR="000B2ED7" w:rsidRPr="00A21E93" w:rsidRDefault="000B2ED7" w:rsidP="000B2ED7">
      <w:pPr>
        <w:rPr>
          <w:rFonts w:cs="Arial"/>
          <w:szCs w:val="22"/>
        </w:rPr>
      </w:pPr>
    </w:p>
    <w:p w14:paraId="4F1715A7" w14:textId="77777777" w:rsidR="000B2ED7" w:rsidRPr="00FA1E41" w:rsidRDefault="000B2ED7" w:rsidP="000B2E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</w:pPr>
      <w:r>
        <w:rPr>
          <w:rFonts w:cs="Arial"/>
          <w:szCs w:val="22"/>
        </w:rPr>
        <w:t>zajistit dodržení mezních hodnot kvality služby podle vyhlášky č. 162/2005 Sb., o stanovení parametrů kvality univerzální služby a jejich mezních hodnot,</w:t>
      </w:r>
      <w:r w:rsidRPr="00FA1E41">
        <w:t xml:space="preserve"> </w:t>
      </w:r>
      <w:r w:rsidRPr="00835C6D">
        <w:t>ve znění vyhlášky č. 227/2012 Sb.</w:t>
      </w:r>
      <w:r>
        <w:t>;</w:t>
      </w:r>
    </w:p>
    <w:p w14:paraId="43A68926" w14:textId="77777777" w:rsidR="000B2ED7" w:rsidRDefault="000B2ED7" w:rsidP="000B2E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357" w:hanging="357"/>
        <w:rPr>
          <w:rFonts w:cs="Arial"/>
          <w:szCs w:val="22"/>
        </w:rPr>
      </w:pPr>
      <w:r w:rsidRPr="00FA1E41">
        <w:rPr>
          <w:rFonts w:cs="Arial"/>
          <w:szCs w:val="22"/>
        </w:rPr>
        <w:t xml:space="preserve">zajišťovat dostupnost VTA nebo jiných obdobných technických prostředků pro zdravotně postižené koncové uživatele v souladu s požadavky vyhlášky č. 398/2009 Sb., </w:t>
      </w:r>
      <w:r>
        <w:rPr>
          <w:rFonts w:cs="Arial"/>
          <w:szCs w:val="22"/>
        </w:rPr>
        <w:t>o </w:t>
      </w:r>
      <w:r w:rsidRPr="00FA1E41">
        <w:rPr>
          <w:rFonts w:cs="Arial"/>
          <w:szCs w:val="22"/>
        </w:rPr>
        <w:t>obecných technických požadavcích zabezpečujících bezbariérové užívání staveb</w:t>
      </w:r>
      <w:r>
        <w:rPr>
          <w:rFonts w:cs="Arial"/>
          <w:szCs w:val="22"/>
        </w:rPr>
        <w:t>;</w:t>
      </w:r>
    </w:p>
    <w:p w14:paraId="66E85CB5" w14:textId="77777777" w:rsidR="000B2ED7" w:rsidRDefault="000B2ED7" w:rsidP="000B2E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340" w:hanging="340"/>
        <w:rPr>
          <w:rFonts w:cs="Arial"/>
          <w:szCs w:val="22"/>
        </w:rPr>
      </w:pPr>
      <w:r w:rsidRPr="00FA1E41">
        <w:rPr>
          <w:rFonts w:cs="Arial"/>
          <w:szCs w:val="22"/>
        </w:rPr>
        <w:t>vybavit VTA nebo obdobné technické prostředky viditelně umístěným volacím číslem tak, aby uživatelé měli možnost v případě potřeby přijímat volání pomocí VTA nebo jiných technických prostředků</w:t>
      </w:r>
      <w:r>
        <w:rPr>
          <w:rFonts w:cs="Arial"/>
          <w:szCs w:val="22"/>
        </w:rPr>
        <w:t>;</w:t>
      </w:r>
    </w:p>
    <w:p w14:paraId="7B3966CA" w14:textId="77777777" w:rsidR="000B2ED7" w:rsidRDefault="000B2ED7" w:rsidP="000B2E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zajistit vybavení VTA nebo jiného obdobného technického prostředku zřetelnou a jednoznačnou informací o:</w:t>
      </w:r>
    </w:p>
    <w:p w14:paraId="642947D2" w14:textId="77777777" w:rsidR="000B2ED7" w:rsidRDefault="000B2ED7" w:rsidP="000B2ED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>ceně za automaticky uskutečněná volání,</w:t>
      </w:r>
    </w:p>
    <w:p w14:paraId="1EB5279F" w14:textId="77777777" w:rsidR="000B2ED7" w:rsidRDefault="000B2ED7" w:rsidP="000B2ED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>existenci a podmínkách používání čísel tísňových volání podle písm. f),</w:t>
      </w:r>
    </w:p>
    <w:p w14:paraId="26BDBA8E" w14:textId="77777777" w:rsidR="000B2ED7" w:rsidRDefault="000B2ED7" w:rsidP="000B2ED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možnosti využití informační služby o telefonních číslech účastníků veřejně dostupné telefonní služby, včetně ceny za volání na tuto službu;</w:t>
      </w:r>
    </w:p>
    <w:p w14:paraId="57AAB17A" w14:textId="77777777" w:rsidR="000B2ED7" w:rsidRDefault="000B2ED7" w:rsidP="000B2E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</w:pPr>
      <w:r w:rsidRPr="00835C6D">
        <w:t>provozovat VTA nebo jiné obdobné technické prostředky zařazené v seznamu VTA (dále jen „Seznam“) podle výše uvedených podmínek. Seznam bu</w:t>
      </w:r>
      <w:r>
        <w:t>de uveden v příloze rozhodnutí;</w:t>
      </w:r>
    </w:p>
    <w:p w14:paraId="4A6771A2" w14:textId="77777777" w:rsidR="005A2070" w:rsidRPr="00C95AC5" w:rsidRDefault="00C95AC5" w:rsidP="000B2E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hanging="357"/>
        <w:rPr>
          <w:szCs w:val="22"/>
        </w:rPr>
      </w:pPr>
      <w:r w:rsidRPr="00C95AC5">
        <w:rPr>
          <w:rFonts w:cs="Arial"/>
          <w:szCs w:val="22"/>
        </w:rPr>
        <w:t>poskytovatel má možnost zařadit do univerzální služby jiný VTA nebo jiný obdobný technický prostředek, a to do dvou procent celkového počtu VTA nebo jiných obdobných technických prostředků zařazených v Seznamu v případě, že poskytovatel nebude moci bez jakéhokoliv vlastního zavinění nadále provozovat některý z VTA nebo jiných obdobných technických prostředků uvedených v Seznamu při plnění povinnosti;</w:t>
      </w:r>
      <w:r w:rsidR="000B2ED7" w:rsidRPr="00C95AC5">
        <w:rPr>
          <w:rFonts w:cs="Arial"/>
          <w:szCs w:val="22"/>
        </w:rPr>
        <w:t xml:space="preserve"> </w:t>
      </w:r>
      <w:r w:rsidR="005A2070" w:rsidRPr="00C95AC5">
        <w:rPr>
          <w:szCs w:val="22"/>
        </w:rPr>
        <w:t xml:space="preserve"> </w:t>
      </w:r>
    </w:p>
    <w:p w14:paraId="7D7F254C" w14:textId="77777777" w:rsidR="005A2070" w:rsidRPr="001B5318" w:rsidRDefault="005A2070" w:rsidP="005A207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rPr>
          <w:szCs w:val="22"/>
        </w:rPr>
      </w:pPr>
      <w:r w:rsidRPr="001B5318">
        <w:rPr>
          <w:szCs w:val="22"/>
        </w:rPr>
        <w:t>pro účely plnění povinnosti podle písmene b) a c) určí Rada tři měsíce před platností tohoto ustanovení ty VTA nebo jiné obdobné technické prostředky, které budou do Seznamu zařazeny.</w:t>
      </w:r>
    </w:p>
    <w:p w14:paraId="11C6BF76" w14:textId="77777777" w:rsidR="005A2070" w:rsidRPr="001B5318" w:rsidRDefault="005A2070" w:rsidP="005A2070">
      <w:pPr>
        <w:keepNext/>
        <w:spacing w:after="120"/>
        <w:jc w:val="center"/>
        <w:rPr>
          <w:b/>
        </w:rPr>
      </w:pPr>
      <w:r w:rsidRPr="001B5318">
        <w:rPr>
          <w:b/>
        </w:rPr>
        <w:lastRenderedPageBreak/>
        <w:t>II.</w:t>
      </w:r>
    </w:p>
    <w:p w14:paraId="10ABC63F" w14:textId="77777777" w:rsidR="005A2070" w:rsidRPr="001B5318" w:rsidRDefault="005A2070" w:rsidP="005A2070">
      <w:pPr>
        <w:spacing w:after="120"/>
        <w:ind w:firstLine="709"/>
        <w:rPr>
          <w:snapToGrid w:val="0"/>
        </w:rPr>
      </w:pPr>
      <w:r w:rsidRPr="001B5318">
        <w:rPr>
          <w:snapToGrid w:val="0"/>
        </w:rPr>
        <w:t xml:space="preserve">Poskytovatel je oprávněn za příslušné roční zúčtovací období podat Úřadu postupem podle § 49 odst. 1 Zákona žádost o úhradu čistých nákladů nejvýše v rozsahu podle konkrétního návrhu výpočtu příslušných jednotkových ročních čistých nákladů na plnění Povinnosti a jejich předpokládané výše, jak je poskytovatel předložil ve své přihlášce do výběrového řízení, a to za jednotlivé roky takto: </w:t>
      </w:r>
    </w:p>
    <w:p w14:paraId="28E11117" w14:textId="77777777" w:rsidR="005A2070" w:rsidRPr="001B5318" w:rsidRDefault="00C95AC5" w:rsidP="005A2070">
      <w:pPr>
        <w:spacing w:after="120"/>
        <w:ind w:firstLine="709"/>
        <w:rPr>
          <w:snapToGrid w:val="0"/>
        </w:rPr>
      </w:pPr>
      <w:r>
        <w:rPr>
          <w:snapToGrid w:val="0"/>
        </w:rPr>
        <w:t>za rok 2018</w:t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  <w:t xml:space="preserve">nejvýše </w:t>
      </w:r>
      <w:r w:rsidRPr="00C95AC5">
        <w:rPr>
          <w:snapToGrid w:val="0"/>
        </w:rPr>
        <w:t>11</w:t>
      </w:r>
      <w:r>
        <w:rPr>
          <w:snapToGrid w:val="0"/>
        </w:rPr>
        <w:t> </w:t>
      </w:r>
      <w:r w:rsidRPr="00C95AC5">
        <w:rPr>
          <w:snapToGrid w:val="0"/>
        </w:rPr>
        <w:t>535</w:t>
      </w:r>
      <w:r>
        <w:rPr>
          <w:snapToGrid w:val="0"/>
        </w:rPr>
        <w:t xml:space="preserve"> </w:t>
      </w:r>
      <w:r w:rsidR="005A2070" w:rsidRPr="001B5318">
        <w:rPr>
          <w:snapToGrid w:val="0"/>
        </w:rPr>
        <w:t>Kč/VTA,</w:t>
      </w:r>
    </w:p>
    <w:p w14:paraId="5D596DA7" w14:textId="77777777" w:rsidR="005A2070" w:rsidRPr="001B5318" w:rsidRDefault="00C95AC5" w:rsidP="005A2070">
      <w:pPr>
        <w:spacing w:after="120"/>
        <w:ind w:firstLine="709"/>
        <w:rPr>
          <w:snapToGrid w:val="0"/>
        </w:rPr>
      </w:pPr>
      <w:r>
        <w:rPr>
          <w:snapToGrid w:val="0"/>
        </w:rPr>
        <w:t>za rok 2019</w:t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  <w:t xml:space="preserve">nejvýše </w:t>
      </w:r>
      <w:r w:rsidRPr="00C95AC5">
        <w:rPr>
          <w:snapToGrid w:val="0"/>
        </w:rPr>
        <w:t>18</w:t>
      </w:r>
      <w:r>
        <w:rPr>
          <w:snapToGrid w:val="0"/>
        </w:rPr>
        <w:t> </w:t>
      </w:r>
      <w:r w:rsidRPr="00C95AC5">
        <w:rPr>
          <w:snapToGrid w:val="0"/>
        </w:rPr>
        <w:t>925</w:t>
      </w:r>
      <w:r>
        <w:rPr>
          <w:snapToGrid w:val="0"/>
        </w:rPr>
        <w:t xml:space="preserve"> </w:t>
      </w:r>
      <w:r w:rsidR="005A2070" w:rsidRPr="001B5318">
        <w:rPr>
          <w:snapToGrid w:val="0"/>
        </w:rPr>
        <w:t>Kč/VTA,</w:t>
      </w:r>
    </w:p>
    <w:p w14:paraId="4AD098C0" w14:textId="77777777" w:rsidR="005A2070" w:rsidRPr="001B5318" w:rsidRDefault="00C95AC5" w:rsidP="005A2070">
      <w:pPr>
        <w:spacing w:after="120"/>
        <w:ind w:firstLine="709"/>
        <w:rPr>
          <w:snapToGrid w:val="0"/>
        </w:rPr>
      </w:pPr>
      <w:r>
        <w:rPr>
          <w:snapToGrid w:val="0"/>
        </w:rPr>
        <w:t>za rok 2020</w:t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  <w:t xml:space="preserve">nejvýše </w:t>
      </w:r>
      <w:r w:rsidRPr="00C95AC5">
        <w:rPr>
          <w:snapToGrid w:val="0"/>
        </w:rPr>
        <w:t>42</w:t>
      </w:r>
      <w:r>
        <w:rPr>
          <w:snapToGrid w:val="0"/>
        </w:rPr>
        <w:t> </w:t>
      </w:r>
      <w:r w:rsidRPr="00C95AC5">
        <w:rPr>
          <w:snapToGrid w:val="0"/>
        </w:rPr>
        <w:t>584</w:t>
      </w:r>
      <w:r>
        <w:rPr>
          <w:snapToGrid w:val="0"/>
        </w:rPr>
        <w:t xml:space="preserve"> </w:t>
      </w:r>
      <w:r w:rsidR="005A2070" w:rsidRPr="001B5318">
        <w:rPr>
          <w:snapToGrid w:val="0"/>
        </w:rPr>
        <w:t>Kč/VTA.</w:t>
      </w:r>
    </w:p>
    <w:p w14:paraId="3F80EBF8" w14:textId="77777777" w:rsidR="005A2070" w:rsidRPr="001B5318" w:rsidRDefault="005A2070" w:rsidP="005A2070">
      <w:pPr>
        <w:spacing w:after="120"/>
        <w:ind w:firstLine="709"/>
        <w:rPr>
          <w:snapToGrid w:val="0"/>
        </w:rPr>
      </w:pPr>
      <w:r w:rsidRPr="001B5318">
        <w:rPr>
          <w:snapToGrid w:val="0"/>
        </w:rPr>
        <w:t>V případě, že v průběhu plnění Povinnosti dojde ke změně podmínek týkajících se plnění Povinnosti tak, že poskytovatel neměl možnost je ovlivnit, v důsledku čehož by došlo k překročení stanovené maximální výše ročních čistých nákladů, Úřad zohlední tuto změnu, která musí být uvedena v žádosti poskytovatele o úhradu čistých nákladů při výpočtu nákladů podle § 48 odst. 5 Zákona.</w:t>
      </w:r>
    </w:p>
    <w:p w14:paraId="4FE96A5A" w14:textId="77777777" w:rsidR="005A2070" w:rsidRPr="001B5318" w:rsidRDefault="005A2070" w:rsidP="005A2070">
      <w:pPr>
        <w:keepNext/>
        <w:spacing w:after="120"/>
        <w:jc w:val="center"/>
        <w:rPr>
          <w:b/>
        </w:rPr>
      </w:pPr>
      <w:r w:rsidRPr="001B5318">
        <w:rPr>
          <w:b/>
        </w:rPr>
        <w:t>III.</w:t>
      </w:r>
    </w:p>
    <w:p w14:paraId="48A1CFB1" w14:textId="77777777" w:rsidR="005A2070" w:rsidRPr="001B5318" w:rsidRDefault="005A2070" w:rsidP="005A2070">
      <w:pPr>
        <w:spacing w:after="120"/>
        <w:ind w:firstLine="709"/>
        <w:rPr>
          <w:snapToGrid w:val="0"/>
          <w:highlight w:val="green"/>
        </w:rPr>
      </w:pPr>
      <w:r w:rsidRPr="001B5318">
        <w:rPr>
          <w:snapToGrid w:val="0"/>
        </w:rPr>
        <w:t xml:space="preserve">Poskytovatel je povinen zajišťovat plnění Povinnosti za podmínek uvedených v částech I. a II. výroku tohoto </w:t>
      </w:r>
      <w:r w:rsidR="00587608">
        <w:rPr>
          <w:snapToGrid w:val="0"/>
        </w:rPr>
        <w:t>rozhodnutí ode dne 1. ledna 2018 do 31. prosince 2020</w:t>
      </w:r>
      <w:r w:rsidRPr="001B5318">
        <w:rPr>
          <w:snapToGrid w:val="0"/>
        </w:rPr>
        <w:t xml:space="preserve">. </w:t>
      </w:r>
    </w:p>
    <w:p w14:paraId="02A9A0B5" w14:textId="77777777" w:rsidR="005A2070" w:rsidRDefault="005A2070" w:rsidP="005A2070">
      <w:pPr>
        <w:keepNext/>
        <w:spacing w:after="120"/>
        <w:jc w:val="center"/>
        <w:rPr>
          <w:b/>
        </w:rPr>
      </w:pPr>
    </w:p>
    <w:p w14:paraId="4086E658" w14:textId="77777777" w:rsidR="005A2070" w:rsidRPr="001B5318" w:rsidRDefault="005A2070" w:rsidP="005A2070">
      <w:pPr>
        <w:keepNext/>
        <w:spacing w:after="120"/>
        <w:jc w:val="center"/>
        <w:rPr>
          <w:b/>
        </w:rPr>
      </w:pPr>
      <w:r w:rsidRPr="001B5318">
        <w:rPr>
          <w:b/>
        </w:rPr>
        <w:t>Odůvodnění:</w:t>
      </w:r>
    </w:p>
    <w:p w14:paraId="123F865B" w14:textId="77777777" w:rsidR="005A2070" w:rsidRPr="001B5318" w:rsidRDefault="00ED24D7" w:rsidP="005A2070">
      <w:pPr>
        <w:spacing w:after="120"/>
        <w:ind w:firstLine="709"/>
        <w:rPr>
          <w:highlight w:val="green"/>
        </w:rPr>
      </w:pPr>
      <w:r>
        <w:rPr>
          <w:snapToGrid w:val="0"/>
        </w:rPr>
        <w:t>Dne 20</w:t>
      </w:r>
      <w:r w:rsidR="005A2070" w:rsidRPr="001B5318">
        <w:rPr>
          <w:snapToGrid w:val="0"/>
        </w:rPr>
        <w:t xml:space="preserve">. </w:t>
      </w:r>
      <w:r>
        <w:rPr>
          <w:snapToGrid w:val="0"/>
        </w:rPr>
        <w:t>dubna 2017</w:t>
      </w:r>
      <w:r w:rsidR="005A2070" w:rsidRPr="001B5318">
        <w:rPr>
          <w:snapToGrid w:val="0"/>
        </w:rPr>
        <w:t xml:space="preserve"> vyhlásil Úřad výběrové řízení</w:t>
      </w:r>
      <w:r w:rsidR="005A2070" w:rsidRPr="001B5318">
        <w:rPr>
          <w:b/>
        </w:rPr>
        <w:t xml:space="preserve"> </w:t>
      </w:r>
      <w:r w:rsidR="005A2070" w:rsidRPr="001B5318">
        <w:t xml:space="preserve">na podnikatele poskytující veřejně dostupnou telefonní službu, </w:t>
      </w:r>
      <w:r w:rsidR="00476BEC">
        <w:t>kterému</w:t>
      </w:r>
      <w:r w:rsidR="00476BEC" w:rsidRPr="001B5318">
        <w:t xml:space="preserve"> </w:t>
      </w:r>
      <w:r w:rsidR="005A2070" w:rsidRPr="001B5318">
        <w:t>bude uložena Povinnost. Vyhlášení výběrového řízení (dále jen „Vyhláš</w:t>
      </w:r>
      <w:r>
        <w:t>ení“) Úřad uveřejnil v částce 6/2017</w:t>
      </w:r>
      <w:r w:rsidR="005A2070" w:rsidRPr="001B5318">
        <w:t xml:space="preserve"> Telekomunikačního věstníku.</w:t>
      </w:r>
    </w:p>
    <w:p w14:paraId="2A120702" w14:textId="77777777" w:rsidR="005A2070" w:rsidRPr="001B5318" w:rsidRDefault="005A2070" w:rsidP="005A2070">
      <w:pPr>
        <w:spacing w:after="120"/>
        <w:ind w:firstLine="709"/>
      </w:pPr>
      <w:r w:rsidRPr="001B5318">
        <w:t>Vyhlášení navazovalo na výsledky veřejné konzultace záměru Úřadu uložit Povinnost, který Úřad uveřejnil podle §</w:t>
      </w:r>
      <w:r w:rsidR="008C0DE0">
        <w:t xml:space="preserve"> 39 odst. 1 Zákona dne 2. března</w:t>
      </w:r>
      <w:r w:rsidRPr="001B5318">
        <w:t xml:space="preserve"> 201</w:t>
      </w:r>
      <w:r w:rsidR="008C0DE0">
        <w:t>7</w:t>
      </w:r>
      <w:r w:rsidRPr="001B5318">
        <w:t xml:space="preserve"> na diskusním místě. </w:t>
      </w:r>
      <w:r w:rsidR="008C0DE0">
        <w:t>K tomuto záměru nebyly uplatněny žádné připomínky.</w:t>
      </w:r>
    </w:p>
    <w:p w14:paraId="10A3A92D" w14:textId="77777777" w:rsidR="005A2070" w:rsidRPr="001B5318" w:rsidRDefault="005A2070" w:rsidP="005A2070">
      <w:pPr>
        <w:tabs>
          <w:tab w:val="left" w:pos="180"/>
        </w:tabs>
        <w:spacing w:after="120"/>
        <w:ind w:firstLine="709"/>
      </w:pPr>
      <w:r w:rsidRPr="001B5318">
        <w:t xml:space="preserve">Poskytovatel předložil svoji přihlášku do výběrového řízení </w:t>
      </w:r>
      <w:r w:rsidRPr="002E2173">
        <w:t xml:space="preserve">dne </w:t>
      </w:r>
      <w:r w:rsidR="002E2173" w:rsidRPr="002E2173">
        <w:t>25</w:t>
      </w:r>
      <w:r w:rsidRPr="002E2173">
        <w:t>.</w:t>
      </w:r>
      <w:r w:rsidR="002E2173" w:rsidRPr="002E2173">
        <w:t xml:space="preserve"> května</w:t>
      </w:r>
      <w:r w:rsidR="002E2173">
        <w:t xml:space="preserve"> 2017</w:t>
      </w:r>
      <w:r w:rsidRPr="001B5318">
        <w:t>.</w:t>
      </w:r>
    </w:p>
    <w:p w14:paraId="719DE7D4" w14:textId="77777777" w:rsidR="005A2070" w:rsidRPr="001B5318" w:rsidRDefault="005A2070" w:rsidP="005A2070">
      <w:pPr>
        <w:tabs>
          <w:tab w:val="left" w:pos="180"/>
        </w:tabs>
        <w:spacing w:after="120"/>
        <w:ind w:firstLine="709"/>
      </w:pPr>
      <w:r w:rsidRPr="001B5318">
        <w:t xml:space="preserve">Na základě výsledků výběrového řízení a na základě Závěrečné zprávy výběrové komise zahájil správní orgán dne </w:t>
      </w:r>
      <w:r w:rsidR="00174F05" w:rsidRPr="00174F05">
        <w:t>21</w:t>
      </w:r>
      <w:r w:rsidR="002E2173" w:rsidRPr="00174F05">
        <w:t>.</w:t>
      </w:r>
      <w:r w:rsidR="008A73B9" w:rsidRPr="00174F05">
        <w:t xml:space="preserve"> července</w:t>
      </w:r>
      <w:r w:rsidR="002E2173" w:rsidRPr="00174F05">
        <w:t xml:space="preserve"> 2017</w:t>
      </w:r>
      <w:r w:rsidRPr="00174F05">
        <w:t xml:space="preserve"> s poskytovatelem správní řízení ve věci uložení Povinnosti.</w:t>
      </w:r>
    </w:p>
    <w:p w14:paraId="51D3B0F7" w14:textId="77777777" w:rsidR="005A2070" w:rsidRPr="00040A4B" w:rsidRDefault="005A2070" w:rsidP="005A2070">
      <w:pPr>
        <w:tabs>
          <w:tab w:val="left" w:pos="180"/>
        </w:tabs>
        <w:spacing w:after="120"/>
        <w:ind w:firstLine="709"/>
      </w:pPr>
      <w:r w:rsidRPr="00040A4B">
        <w:t>K části I. výroku</w:t>
      </w:r>
    </w:p>
    <w:p w14:paraId="4138E4CC" w14:textId="77777777" w:rsidR="005A2070" w:rsidRPr="001B5318" w:rsidRDefault="005A2070" w:rsidP="005A2070">
      <w:pPr>
        <w:tabs>
          <w:tab w:val="left" w:pos="180"/>
        </w:tabs>
        <w:spacing w:after="120"/>
        <w:ind w:firstLine="709"/>
      </w:pPr>
      <w:r w:rsidRPr="001B5318">
        <w:t xml:space="preserve">Správní orgán stanovil konkrétní požadavky na plnění Povinnosti. Tyto odpovídají požadavkům, které Úřad stanovil ve shora uvedeném výběrovém řízení, jehož se poskytovatel zúčastnil. Při stanovení těchto požadavků vzal správní orgán v úvahu skutečnost, že poskytovatel vyslovil v souvislosti se svou přihláškou do uvedeného výběrového řízení souhlas s jeho podmínkami a ve své nabídce je přijal jako závazek. </w:t>
      </w:r>
    </w:p>
    <w:p w14:paraId="3EAE439F" w14:textId="77777777" w:rsidR="005A2070" w:rsidRPr="001B5318" w:rsidRDefault="005A2070" w:rsidP="005A2070">
      <w:pPr>
        <w:tabs>
          <w:tab w:val="left" w:pos="180"/>
        </w:tabs>
        <w:spacing w:after="120"/>
        <w:ind w:firstLine="709"/>
        <w:rPr>
          <w:highlight w:val="green"/>
        </w:rPr>
      </w:pPr>
      <w:r w:rsidRPr="001B5318">
        <w:t xml:space="preserve">Správní orgán při stanovení konkrétních požadavků na plnění Povinnosti zohlednil dlouhodobý pokles zájmu o využívání služby VTA a upravil podmínky definující dostupnost VTA </w:t>
      </w:r>
      <w:r w:rsidRPr="001B5318">
        <w:rPr>
          <w:szCs w:val="22"/>
        </w:rPr>
        <w:t>nebo jiných obdobných technických prostředků</w:t>
      </w:r>
      <w:r w:rsidRPr="001B5318">
        <w:t xml:space="preserve">, tj. počty VTA </w:t>
      </w:r>
      <w:r w:rsidRPr="001B5318">
        <w:rPr>
          <w:szCs w:val="22"/>
        </w:rPr>
        <w:t>nebo jiných obdobných technických prostředků</w:t>
      </w:r>
      <w:r w:rsidRPr="001B5318">
        <w:t xml:space="preserve"> provozovaných v rámci uvedené Povinnosti v jednotlivých kategoriích obcí</w:t>
      </w:r>
      <w:r w:rsidR="008A73B9">
        <w:t>.</w:t>
      </w:r>
      <w:r w:rsidRPr="001B5318">
        <w:t xml:space="preserve"> </w:t>
      </w:r>
    </w:p>
    <w:p w14:paraId="3E64F89D" w14:textId="77777777" w:rsidR="005A2070" w:rsidRPr="001B5318" w:rsidRDefault="005A2070" w:rsidP="005A2070">
      <w:pPr>
        <w:tabs>
          <w:tab w:val="left" w:pos="180"/>
        </w:tabs>
        <w:spacing w:after="120"/>
        <w:ind w:firstLine="709"/>
      </w:pPr>
      <w:r w:rsidRPr="001B5318">
        <w:t xml:space="preserve">Správní orgán při stanovení nových podmínek dostupnosti VTA </w:t>
      </w:r>
      <w:r w:rsidRPr="001B5318">
        <w:rPr>
          <w:szCs w:val="22"/>
        </w:rPr>
        <w:t>nebo jiných obdobných technických prostředků</w:t>
      </w:r>
      <w:r w:rsidRPr="001B5318">
        <w:t xml:space="preserve"> vycházel z toho, že služba VTA je nadále považována za důležitou z důvodu zajištění přístupu k veřejně dostupné telefonní službě, a to především v obcích s nejnižším počtem obyvatel.</w:t>
      </w:r>
      <w:r w:rsidR="00660621">
        <w:t xml:space="preserve"> Tato skutečnost byla zjištěna v rámci přezkumu dílčí služby VTA, na jehož základě byl vypracován záměr o dalším uložení služby, který byl podroben veřejné konzultaci v souladu s § 130 Zákona a žádný subjekt k němu nevznesl připomínky.</w:t>
      </w:r>
      <w:r w:rsidRPr="001B5318">
        <w:t xml:space="preserve"> Správní orgán při úpravě podmínek také zohlednil zjištěný stav, že přes velmi dobré pokrytí signálem </w:t>
      </w:r>
      <w:r w:rsidRPr="001B5318">
        <w:lastRenderedPageBreak/>
        <w:t xml:space="preserve">GSM na celém území České republiky stále existují lokality bez pokrytí nebo pouze s pokrytím, které není dostatečné. </w:t>
      </w:r>
    </w:p>
    <w:p w14:paraId="42A26E4F" w14:textId="77777777" w:rsidR="00040A4B" w:rsidRDefault="005A2070" w:rsidP="005A2070">
      <w:pPr>
        <w:tabs>
          <w:tab w:val="left" w:pos="180"/>
        </w:tabs>
        <w:spacing w:after="120"/>
        <w:ind w:firstLine="709"/>
        <w:rPr>
          <w:szCs w:val="22"/>
        </w:rPr>
      </w:pPr>
      <w:r w:rsidRPr="001B5318">
        <w:rPr>
          <w:szCs w:val="22"/>
        </w:rPr>
        <w:t>Správní orgán stanovil konkrétní Seznam VTA nebo jiných obdobných technických prostředků zařazených do Povinnosti pro období od 1.</w:t>
      </w:r>
      <w:r w:rsidR="00040A4B">
        <w:rPr>
          <w:szCs w:val="22"/>
        </w:rPr>
        <w:t xml:space="preserve"> ledna 2018</w:t>
      </w:r>
      <w:r w:rsidRPr="001B5318">
        <w:rPr>
          <w:szCs w:val="22"/>
        </w:rPr>
        <w:t xml:space="preserve"> do 31. prosince 201</w:t>
      </w:r>
      <w:r w:rsidR="00040A4B">
        <w:rPr>
          <w:szCs w:val="22"/>
        </w:rPr>
        <w:t>8</w:t>
      </w:r>
      <w:r w:rsidRPr="001B5318">
        <w:rPr>
          <w:szCs w:val="22"/>
        </w:rPr>
        <w:t xml:space="preserve"> a uvedl je v příloze tohoto rozhodnutí. </w:t>
      </w:r>
    </w:p>
    <w:p w14:paraId="6C6EAD48" w14:textId="77777777" w:rsidR="00040A4B" w:rsidRDefault="005A2070" w:rsidP="005A2070">
      <w:pPr>
        <w:tabs>
          <w:tab w:val="left" w:pos="180"/>
        </w:tabs>
        <w:spacing w:after="120"/>
        <w:ind w:firstLine="709"/>
        <w:rPr>
          <w:szCs w:val="22"/>
        </w:rPr>
      </w:pPr>
      <w:r w:rsidRPr="001B5318">
        <w:rPr>
          <w:szCs w:val="22"/>
        </w:rPr>
        <w:t>Pro další obd</w:t>
      </w:r>
      <w:r w:rsidR="00040A4B">
        <w:rPr>
          <w:szCs w:val="22"/>
        </w:rPr>
        <w:t>obí plnění Povinnosti vydá Rada</w:t>
      </w:r>
      <w:r w:rsidRPr="001B5318">
        <w:rPr>
          <w:szCs w:val="22"/>
        </w:rPr>
        <w:t xml:space="preserve"> vždy tři měsíce před platností nových podmínek stanovených účastníku řízení pro plnění Povinnosti uložené tímto rozhodnutím seznam těch VTA nebo jiných obdobných technických prostředků, které budou do Seznamu zařazeny. </w:t>
      </w:r>
    </w:p>
    <w:p w14:paraId="6CFA822A" w14:textId="77777777" w:rsidR="005A2070" w:rsidRPr="001B5318" w:rsidRDefault="005A2070" w:rsidP="005A2070">
      <w:pPr>
        <w:tabs>
          <w:tab w:val="left" w:pos="180"/>
        </w:tabs>
        <w:spacing w:after="120"/>
        <w:ind w:firstLine="709"/>
      </w:pPr>
      <w:r w:rsidRPr="001B5318">
        <w:t>K části II. výroku</w:t>
      </w:r>
    </w:p>
    <w:p w14:paraId="61606B62" w14:textId="77777777" w:rsidR="002B729B" w:rsidRDefault="005A2070" w:rsidP="005A2070">
      <w:pPr>
        <w:tabs>
          <w:tab w:val="left" w:pos="180"/>
        </w:tabs>
        <w:spacing w:after="120"/>
        <w:ind w:firstLine="709"/>
        <w:rPr>
          <w:szCs w:val="22"/>
        </w:rPr>
      </w:pPr>
      <w:r w:rsidRPr="001B5318">
        <w:rPr>
          <w:szCs w:val="22"/>
        </w:rPr>
        <w:t>Správní orgán stanovil jednotkové limity pro úhradu čistých nákladů za jednotlivé roky, ve kterých bude plněna Povinnost. Správní orgán vycházel z</w:t>
      </w:r>
      <w:r w:rsidR="002B729B">
        <w:rPr>
          <w:szCs w:val="22"/>
        </w:rPr>
        <w:t xml:space="preserve"> celkových nákladů na poskytování služby VTA v jednotlivých letech, které předložil poskytovatel ve své přihlášce do výběrového řízení. </w:t>
      </w:r>
      <w:r w:rsidR="002066F1">
        <w:rPr>
          <w:szCs w:val="22"/>
        </w:rPr>
        <w:t>Ve vyúčtování čistých nákladů na poskytování služby VTA za jednotlivé roky pak poskytovatel univerzální služby uvede skutečně vynaložené náklady.</w:t>
      </w:r>
    </w:p>
    <w:p w14:paraId="4B047E9E" w14:textId="77777777" w:rsidR="005A2070" w:rsidRPr="001B5318" w:rsidRDefault="005A2070" w:rsidP="005A2070">
      <w:pPr>
        <w:spacing w:after="120"/>
        <w:ind w:firstLine="709"/>
        <w:rPr>
          <w:snapToGrid w:val="0"/>
        </w:rPr>
      </w:pPr>
      <w:r w:rsidRPr="001B5318">
        <w:rPr>
          <w:snapToGrid w:val="0"/>
        </w:rPr>
        <w:t>Poskytovatel předložil ve své přihlášce do výběrového řízení za příslušné roční zúčtovací období výpočet</w:t>
      </w:r>
      <w:r w:rsidR="00476BEC">
        <w:rPr>
          <w:snapToGrid w:val="0"/>
        </w:rPr>
        <w:t xml:space="preserve"> očekávaných</w:t>
      </w:r>
      <w:r w:rsidRPr="001B5318">
        <w:rPr>
          <w:snapToGrid w:val="0"/>
        </w:rPr>
        <w:t xml:space="preserve"> celkových ročních čistých nákladů na plnění Povinnosti za jednotlivé roky takto:</w:t>
      </w:r>
    </w:p>
    <w:p w14:paraId="067A6272" w14:textId="77777777" w:rsidR="005A2070" w:rsidRPr="00527EE2" w:rsidRDefault="00040A4B" w:rsidP="005A2070">
      <w:pPr>
        <w:spacing w:after="120"/>
        <w:ind w:firstLine="709"/>
        <w:rPr>
          <w:snapToGrid w:val="0"/>
          <w:szCs w:val="22"/>
        </w:rPr>
      </w:pPr>
      <w:r>
        <w:rPr>
          <w:snapToGrid w:val="0"/>
        </w:rPr>
        <w:t>za rok 2018</w:t>
      </w:r>
      <w:r w:rsidR="005A2070" w:rsidRPr="001B5318">
        <w:rPr>
          <w:snapToGrid w:val="0"/>
        </w:rPr>
        <w:t xml:space="preserve"> </w:t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1B5318">
        <w:rPr>
          <w:snapToGrid w:val="0"/>
        </w:rPr>
        <w:tab/>
      </w:r>
      <w:r w:rsidR="005A2070" w:rsidRPr="00527EE2">
        <w:rPr>
          <w:snapToGrid w:val="0"/>
          <w:szCs w:val="22"/>
        </w:rPr>
        <w:t xml:space="preserve">nejvýše </w:t>
      </w:r>
      <w:r w:rsidR="00527EE2" w:rsidRPr="00527EE2">
        <w:rPr>
          <w:color w:val="000000"/>
          <w:szCs w:val="22"/>
        </w:rPr>
        <w:t xml:space="preserve">48 216 629 </w:t>
      </w:r>
      <w:r w:rsidR="005A2070" w:rsidRPr="00527EE2">
        <w:rPr>
          <w:snapToGrid w:val="0"/>
          <w:szCs w:val="22"/>
        </w:rPr>
        <w:t>Kč,</w:t>
      </w:r>
    </w:p>
    <w:p w14:paraId="201F6A3C" w14:textId="77777777" w:rsidR="005A2070" w:rsidRPr="00527EE2" w:rsidRDefault="00040A4B" w:rsidP="005A2070">
      <w:pPr>
        <w:spacing w:after="120"/>
        <w:ind w:firstLine="709"/>
        <w:rPr>
          <w:snapToGrid w:val="0"/>
          <w:szCs w:val="22"/>
        </w:rPr>
      </w:pPr>
      <w:r w:rsidRPr="00527EE2">
        <w:rPr>
          <w:snapToGrid w:val="0"/>
          <w:szCs w:val="22"/>
        </w:rPr>
        <w:t>za rok 2019</w:t>
      </w:r>
      <w:r w:rsidR="005A2070" w:rsidRPr="00527EE2">
        <w:rPr>
          <w:snapToGrid w:val="0"/>
          <w:szCs w:val="22"/>
        </w:rPr>
        <w:tab/>
      </w:r>
      <w:r w:rsidR="005A2070" w:rsidRPr="00527EE2">
        <w:rPr>
          <w:snapToGrid w:val="0"/>
          <w:szCs w:val="22"/>
        </w:rPr>
        <w:tab/>
      </w:r>
      <w:r w:rsidR="005A2070" w:rsidRPr="00527EE2">
        <w:rPr>
          <w:snapToGrid w:val="0"/>
          <w:szCs w:val="22"/>
        </w:rPr>
        <w:tab/>
      </w:r>
      <w:r w:rsidR="005A2070" w:rsidRPr="00527EE2">
        <w:rPr>
          <w:snapToGrid w:val="0"/>
          <w:szCs w:val="22"/>
        </w:rPr>
        <w:tab/>
      </w:r>
      <w:r w:rsidR="005A2070" w:rsidRPr="00527EE2">
        <w:rPr>
          <w:snapToGrid w:val="0"/>
          <w:szCs w:val="22"/>
        </w:rPr>
        <w:tab/>
      </w:r>
      <w:r w:rsidR="005A2070" w:rsidRPr="00527EE2">
        <w:rPr>
          <w:snapToGrid w:val="0"/>
          <w:szCs w:val="22"/>
        </w:rPr>
        <w:tab/>
      </w:r>
      <w:r w:rsidR="005A2070" w:rsidRPr="00527EE2">
        <w:rPr>
          <w:snapToGrid w:val="0"/>
          <w:szCs w:val="22"/>
        </w:rPr>
        <w:tab/>
        <w:t xml:space="preserve">nejvýše </w:t>
      </w:r>
      <w:r w:rsidR="00527EE2" w:rsidRPr="00527EE2">
        <w:rPr>
          <w:color w:val="000000"/>
          <w:szCs w:val="22"/>
        </w:rPr>
        <w:t xml:space="preserve">56 150 191 </w:t>
      </w:r>
      <w:r w:rsidR="005A2070" w:rsidRPr="00527EE2">
        <w:rPr>
          <w:snapToGrid w:val="0"/>
          <w:szCs w:val="22"/>
        </w:rPr>
        <w:t>Kč,</w:t>
      </w:r>
    </w:p>
    <w:p w14:paraId="703B49D3" w14:textId="77777777" w:rsidR="005A2070" w:rsidRPr="00527EE2" w:rsidRDefault="00040A4B" w:rsidP="005A2070">
      <w:pPr>
        <w:spacing w:after="120"/>
        <w:ind w:firstLine="709"/>
        <w:rPr>
          <w:snapToGrid w:val="0"/>
          <w:szCs w:val="22"/>
        </w:rPr>
      </w:pPr>
      <w:r w:rsidRPr="00527EE2">
        <w:rPr>
          <w:snapToGrid w:val="0"/>
          <w:szCs w:val="22"/>
        </w:rPr>
        <w:t>za rok 2020</w:t>
      </w:r>
      <w:r w:rsidR="005A2070" w:rsidRPr="00527EE2">
        <w:rPr>
          <w:snapToGrid w:val="0"/>
          <w:szCs w:val="22"/>
        </w:rPr>
        <w:tab/>
      </w:r>
      <w:r w:rsidR="005A2070" w:rsidRPr="00527EE2">
        <w:rPr>
          <w:snapToGrid w:val="0"/>
          <w:szCs w:val="22"/>
        </w:rPr>
        <w:tab/>
      </w:r>
      <w:r w:rsidR="005A2070" w:rsidRPr="00527EE2">
        <w:rPr>
          <w:snapToGrid w:val="0"/>
          <w:szCs w:val="22"/>
        </w:rPr>
        <w:tab/>
      </w:r>
      <w:r w:rsidR="005A2070" w:rsidRPr="00527EE2">
        <w:rPr>
          <w:snapToGrid w:val="0"/>
          <w:szCs w:val="22"/>
        </w:rPr>
        <w:tab/>
      </w:r>
      <w:r w:rsidR="005A2070" w:rsidRPr="00527EE2">
        <w:rPr>
          <w:snapToGrid w:val="0"/>
          <w:szCs w:val="22"/>
        </w:rPr>
        <w:tab/>
      </w:r>
      <w:r w:rsidR="005A2070" w:rsidRPr="00527EE2">
        <w:rPr>
          <w:snapToGrid w:val="0"/>
          <w:szCs w:val="22"/>
        </w:rPr>
        <w:tab/>
      </w:r>
      <w:r w:rsidR="005A2070" w:rsidRPr="00527EE2">
        <w:rPr>
          <w:snapToGrid w:val="0"/>
          <w:szCs w:val="22"/>
        </w:rPr>
        <w:tab/>
        <w:t xml:space="preserve">nejvýše </w:t>
      </w:r>
      <w:r w:rsidR="00527EE2" w:rsidRPr="00527EE2">
        <w:rPr>
          <w:color w:val="000000"/>
          <w:szCs w:val="22"/>
        </w:rPr>
        <w:t xml:space="preserve">62 641 549 </w:t>
      </w:r>
      <w:r w:rsidR="005A2070" w:rsidRPr="00527EE2">
        <w:rPr>
          <w:snapToGrid w:val="0"/>
          <w:szCs w:val="22"/>
        </w:rPr>
        <w:t>Kč.</w:t>
      </w:r>
    </w:p>
    <w:p w14:paraId="2D8C0F2D" w14:textId="77777777" w:rsidR="00476BEC" w:rsidRDefault="005A2070" w:rsidP="00476BEC">
      <w:pPr>
        <w:tabs>
          <w:tab w:val="left" w:pos="180"/>
        </w:tabs>
        <w:spacing w:after="120"/>
        <w:ind w:firstLine="709"/>
        <w:rPr>
          <w:szCs w:val="22"/>
        </w:rPr>
      </w:pPr>
      <w:r w:rsidRPr="001B5318">
        <w:rPr>
          <w:szCs w:val="22"/>
        </w:rPr>
        <w:t>Poskytovatel vycházel z předpokládaného rozsah</w:t>
      </w:r>
      <w:r w:rsidR="00527EE2">
        <w:rPr>
          <w:szCs w:val="22"/>
        </w:rPr>
        <w:t>u plnění Povinnosti pro rok 2018</w:t>
      </w:r>
      <w:r w:rsidRPr="001B5318">
        <w:rPr>
          <w:szCs w:val="22"/>
        </w:rPr>
        <w:t xml:space="preserve">, kde se počítá </w:t>
      </w:r>
      <w:r w:rsidRPr="00AB23A3">
        <w:rPr>
          <w:szCs w:val="22"/>
        </w:rPr>
        <w:t>s</w:t>
      </w:r>
      <w:r w:rsidR="00AB23A3" w:rsidRPr="00AB23A3">
        <w:rPr>
          <w:szCs w:val="22"/>
        </w:rPr>
        <w:t> 4 180</w:t>
      </w:r>
      <w:r w:rsidRPr="00AB23A3">
        <w:rPr>
          <w:szCs w:val="22"/>
        </w:rPr>
        <w:t xml:space="preserve"> VTA, a to s</w:t>
      </w:r>
      <w:r w:rsidR="00AB23A3" w:rsidRPr="00AB23A3">
        <w:rPr>
          <w:szCs w:val="22"/>
        </w:rPr>
        <w:t> 4 170</w:t>
      </w:r>
      <w:r w:rsidRPr="00AB23A3">
        <w:rPr>
          <w:szCs w:val="22"/>
        </w:rPr>
        <w:t xml:space="preserve"> VTA v obcích dle prvního kritéria a </w:t>
      </w:r>
      <w:r w:rsidR="00AB23A3" w:rsidRPr="00AB23A3">
        <w:rPr>
          <w:szCs w:val="22"/>
        </w:rPr>
        <w:t>10</w:t>
      </w:r>
      <w:r w:rsidRPr="00AB23A3">
        <w:rPr>
          <w:szCs w:val="22"/>
        </w:rPr>
        <w:t xml:space="preserve"> VTA v obcích splňující</w:t>
      </w:r>
      <w:r w:rsidR="00527EE2" w:rsidRPr="00AB23A3">
        <w:rPr>
          <w:szCs w:val="22"/>
        </w:rPr>
        <w:t>ch kritérium druhé. Pro rok 2019</w:t>
      </w:r>
      <w:r w:rsidRPr="00AB23A3">
        <w:rPr>
          <w:szCs w:val="22"/>
        </w:rPr>
        <w:t xml:space="preserve"> je předpokládaný počet VTA </w:t>
      </w:r>
      <w:r w:rsidR="00AB23A3" w:rsidRPr="00AB23A3">
        <w:rPr>
          <w:szCs w:val="22"/>
        </w:rPr>
        <w:t>2 967</w:t>
      </w:r>
      <w:r w:rsidRPr="00AB23A3">
        <w:rPr>
          <w:szCs w:val="22"/>
        </w:rPr>
        <w:t xml:space="preserve">, kdy v obcích podle prvního kritéria bude provozováno </w:t>
      </w:r>
      <w:r w:rsidR="00AB23A3" w:rsidRPr="00AB23A3">
        <w:rPr>
          <w:szCs w:val="22"/>
        </w:rPr>
        <w:t>2 947</w:t>
      </w:r>
      <w:r w:rsidRPr="00AB23A3">
        <w:rPr>
          <w:szCs w:val="22"/>
        </w:rPr>
        <w:t xml:space="preserve"> VTA a v obcích dle dru</w:t>
      </w:r>
      <w:r w:rsidR="00527EE2" w:rsidRPr="00AB23A3">
        <w:rPr>
          <w:szCs w:val="22"/>
        </w:rPr>
        <w:t xml:space="preserve">hého kritéria </w:t>
      </w:r>
      <w:r w:rsidR="00AB23A3" w:rsidRPr="00AB23A3">
        <w:rPr>
          <w:szCs w:val="22"/>
        </w:rPr>
        <w:t>20</w:t>
      </w:r>
      <w:r w:rsidR="00527EE2" w:rsidRPr="00AB23A3">
        <w:rPr>
          <w:szCs w:val="22"/>
        </w:rPr>
        <w:t xml:space="preserve"> VTA. V roce 2020</w:t>
      </w:r>
      <w:r w:rsidRPr="00AB23A3">
        <w:rPr>
          <w:szCs w:val="22"/>
        </w:rPr>
        <w:t xml:space="preserve"> se počítá s</w:t>
      </w:r>
      <w:r w:rsidR="00AB23A3" w:rsidRPr="00AB23A3">
        <w:rPr>
          <w:szCs w:val="22"/>
        </w:rPr>
        <w:t> 1 471</w:t>
      </w:r>
      <w:r w:rsidRPr="00AB23A3">
        <w:rPr>
          <w:szCs w:val="22"/>
        </w:rPr>
        <w:t xml:space="preserve"> VTA, tedy </w:t>
      </w:r>
      <w:r w:rsidR="00AB23A3" w:rsidRPr="00AB23A3">
        <w:rPr>
          <w:szCs w:val="22"/>
        </w:rPr>
        <w:t>1 441</w:t>
      </w:r>
      <w:r w:rsidRPr="00AB23A3">
        <w:rPr>
          <w:szCs w:val="22"/>
        </w:rPr>
        <w:t xml:space="preserve"> VTA v obcích dle prvního kritéria</w:t>
      </w:r>
      <w:r w:rsidRPr="001B5318">
        <w:rPr>
          <w:szCs w:val="22"/>
        </w:rPr>
        <w:t xml:space="preserve"> a </w:t>
      </w:r>
      <w:r w:rsidR="00AB23A3">
        <w:rPr>
          <w:szCs w:val="22"/>
        </w:rPr>
        <w:t>30</w:t>
      </w:r>
      <w:r w:rsidRPr="001B5318">
        <w:rPr>
          <w:szCs w:val="22"/>
        </w:rPr>
        <w:t xml:space="preserve"> VTA v obcích dle kritéria druhého.</w:t>
      </w:r>
      <w:r w:rsidR="00626E1D">
        <w:rPr>
          <w:szCs w:val="22"/>
        </w:rPr>
        <w:t xml:space="preserve"> Uvedené hodnoty jsou pouze předpokládané, skutečný rozsah plnění povinnosti určí správní orgán každoročně v </w:t>
      </w:r>
      <w:r w:rsidR="00AB23A3">
        <w:rPr>
          <w:szCs w:val="22"/>
        </w:rPr>
        <w:t>S</w:t>
      </w:r>
      <w:r w:rsidR="00626E1D">
        <w:rPr>
          <w:szCs w:val="22"/>
        </w:rPr>
        <w:t>eznamu povinných VTA.</w:t>
      </w:r>
      <w:r w:rsidR="00476BEC">
        <w:rPr>
          <w:szCs w:val="22"/>
        </w:rPr>
        <w:t xml:space="preserve"> Skutečná výše čistých nákladů v jednotlivých letech pak bude Úřadem ověřena postupem podle § 48 Zákona. </w:t>
      </w:r>
    </w:p>
    <w:p w14:paraId="712EFDFF" w14:textId="77777777" w:rsidR="005A2070" w:rsidRPr="001B5318" w:rsidRDefault="005A2070" w:rsidP="005A2070">
      <w:pPr>
        <w:tabs>
          <w:tab w:val="left" w:pos="180"/>
        </w:tabs>
        <w:spacing w:after="120"/>
        <w:ind w:firstLine="709"/>
        <w:rPr>
          <w:bCs/>
          <w:szCs w:val="22"/>
        </w:rPr>
      </w:pPr>
      <w:r w:rsidRPr="001B5318">
        <w:rPr>
          <w:bCs/>
          <w:szCs w:val="22"/>
        </w:rPr>
        <w:t>Dále správní orgán vzal v úvahu, že v období plnění Povinnosti může dojít k zásadní změně podmínek týkajících se plnění Povinnosti, a to i podmínek ekonomických s důsledkem překročení stanovené maximální výše ročních čistých nákladů. Ve výroku rozhodnutí proto určil postup pro tento případ. V souvislosti se skutečnostmi uvedenými v předchozím odstavci může dojít ke změně výše limitu jednotkových ročních čistých nákladů zejména z těchto důvodů:</w:t>
      </w:r>
    </w:p>
    <w:p w14:paraId="32D318DF" w14:textId="77777777" w:rsidR="005A2070" w:rsidRPr="001B5318" w:rsidRDefault="005A2070" w:rsidP="005A207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rPr>
          <w:szCs w:val="22"/>
        </w:rPr>
      </w:pPr>
      <w:r w:rsidRPr="001B5318">
        <w:rPr>
          <w:szCs w:val="22"/>
        </w:rPr>
        <w:t>změna výše WACC bude zohledněna jak ve výši limitu pro čisté náklady, tak ve výpočtu čistých nákladů za konkrétní rok,</w:t>
      </w:r>
    </w:p>
    <w:p w14:paraId="676DF8F4" w14:textId="77777777" w:rsidR="005A2070" w:rsidRPr="001B5318" w:rsidRDefault="005A2070" w:rsidP="005A207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rPr>
          <w:szCs w:val="22"/>
        </w:rPr>
      </w:pPr>
      <w:r w:rsidRPr="001B5318">
        <w:rPr>
          <w:szCs w:val="22"/>
        </w:rPr>
        <w:t xml:space="preserve">změní se náklady na dodatečné úpravy stanovišť VTA pro </w:t>
      </w:r>
      <w:r w:rsidR="00476BEC">
        <w:rPr>
          <w:szCs w:val="22"/>
        </w:rPr>
        <w:t xml:space="preserve">zdravotně </w:t>
      </w:r>
      <w:r w:rsidRPr="001B5318">
        <w:rPr>
          <w:szCs w:val="22"/>
        </w:rPr>
        <w:t>postižené osoby.</w:t>
      </w:r>
    </w:p>
    <w:p w14:paraId="00F48F99" w14:textId="77777777" w:rsidR="005A2070" w:rsidRPr="001B5318" w:rsidRDefault="005A2070" w:rsidP="005A2070">
      <w:pPr>
        <w:tabs>
          <w:tab w:val="left" w:pos="180"/>
        </w:tabs>
        <w:spacing w:after="120"/>
        <w:ind w:firstLine="709"/>
      </w:pPr>
      <w:r w:rsidRPr="001B5318">
        <w:t>K části III. výroku</w:t>
      </w:r>
    </w:p>
    <w:p w14:paraId="413583B9" w14:textId="77777777" w:rsidR="00527EE2" w:rsidRDefault="005A2070" w:rsidP="005A2070">
      <w:pPr>
        <w:tabs>
          <w:tab w:val="left" w:pos="180"/>
        </w:tabs>
        <w:spacing w:after="120"/>
        <w:ind w:firstLine="709"/>
      </w:pPr>
      <w:r w:rsidRPr="001B5318">
        <w:t>Správní orgán stanovil období, po které je poskytovatel povinen zajistit plnění Povinnosti, a to v souladu s bodem 6 písm. m) Vyhlášení. Toto období je</w:t>
      </w:r>
      <w:r w:rsidR="00527EE2">
        <w:t xml:space="preserve"> stanoveno ode dne 1. ledna 2018 do 31. prosince 2020</w:t>
      </w:r>
      <w:r w:rsidRPr="001B5318">
        <w:t xml:space="preserve">, a to z toho důvodu, aby nebylo přerušeno plnění Povinnosti uložené rozhodnutím čj. </w:t>
      </w:r>
      <w:r w:rsidR="00527EE2">
        <w:rPr>
          <w:rFonts w:cs="Helvetica"/>
        </w:rPr>
        <w:t xml:space="preserve">ČTÚ-43 493/2014-610/X. </w:t>
      </w:r>
      <w:proofErr w:type="spellStart"/>
      <w:r w:rsidR="00527EE2">
        <w:rPr>
          <w:rFonts w:cs="Helvetica"/>
        </w:rPr>
        <w:t>vyř</w:t>
      </w:r>
      <w:proofErr w:type="spellEnd"/>
      <w:r w:rsidR="00527EE2">
        <w:rPr>
          <w:rFonts w:cs="Helvetica"/>
        </w:rPr>
        <w:t>. ze dne 3. prosince 2014 pro období od 1. l</w:t>
      </w:r>
      <w:r w:rsidR="00AB23A3">
        <w:rPr>
          <w:rFonts w:cs="Helvetica"/>
        </w:rPr>
        <w:t>edna 2015 do 31. prosince 2017, ve znění pozdějších změn.</w:t>
      </w:r>
    </w:p>
    <w:p w14:paraId="3D0B3151" w14:textId="77777777" w:rsidR="005A2070" w:rsidRPr="001B5318" w:rsidRDefault="005A2070" w:rsidP="005A2070">
      <w:pPr>
        <w:tabs>
          <w:tab w:val="left" w:pos="180"/>
        </w:tabs>
        <w:spacing w:after="120"/>
        <w:ind w:firstLine="709"/>
      </w:pPr>
      <w:r w:rsidRPr="001B5318">
        <w:t xml:space="preserve">Protože poskytovatel služby podal přihlášku do výběrového řízení ve stanovené lhůtě a vyhověl podmínkám účasti ve výběrovém řízení, rozhodla Rada v souladu s § 39 odst. 8 Zákona ve věci uložení Povinnosti tak, jak je uvedeno ve výroku tohoto rozhodnutí. </w:t>
      </w:r>
    </w:p>
    <w:p w14:paraId="716FBEF3" w14:textId="77777777" w:rsidR="005A2070" w:rsidRPr="001B5318" w:rsidRDefault="005A2070" w:rsidP="005A2070">
      <w:pPr>
        <w:tabs>
          <w:tab w:val="left" w:pos="180"/>
        </w:tabs>
        <w:spacing w:after="120"/>
        <w:ind w:firstLine="709"/>
      </w:pPr>
      <w:r w:rsidRPr="001B5318">
        <w:lastRenderedPageBreak/>
        <w:t>Všechny části výroku odpovídají požadavkům na plnění Povinnosti podle části II. Vyhlášení a obsahu přihlášky poskytovatele služby</w:t>
      </w:r>
      <w:r w:rsidR="00DB04D7">
        <w:t xml:space="preserve"> do výběrového řízení</w:t>
      </w:r>
      <w:r w:rsidRPr="001B5318">
        <w:t xml:space="preserve">, včetně v ní uvedeného závazku. </w:t>
      </w:r>
    </w:p>
    <w:p w14:paraId="66FD57E7" w14:textId="77777777" w:rsidR="005A2070" w:rsidRPr="001B5318" w:rsidRDefault="005A2070" w:rsidP="005A2070">
      <w:pPr>
        <w:spacing w:after="120"/>
        <w:jc w:val="center"/>
        <w:rPr>
          <w:i/>
        </w:rPr>
      </w:pPr>
      <w:r w:rsidRPr="001B5318">
        <w:rPr>
          <w:i/>
        </w:rPr>
        <w:t>***</w:t>
      </w:r>
    </w:p>
    <w:p w14:paraId="20221ADA" w14:textId="77777777" w:rsidR="00B847AF" w:rsidRPr="00174F05" w:rsidRDefault="00B847AF" w:rsidP="00B847AF">
      <w:pPr>
        <w:spacing w:after="240"/>
        <w:ind w:firstLine="709"/>
      </w:pPr>
      <w:r w:rsidRPr="00174F05">
        <w:t xml:space="preserve">Účastník řízení byl správním orgánem vyzván k vyjádření se k návrhu rozhodnutí a navržení důkazů a byla mu poskytnuta lhůta 7 dnů ode dne doručení výzvy. </w:t>
      </w:r>
    </w:p>
    <w:p w14:paraId="576CE02E" w14:textId="77777777" w:rsidR="00B847AF" w:rsidRPr="00174F05" w:rsidRDefault="00B847AF" w:rsidP="00B847AF">
      <w:pPr>
        <w:spacing w:after="240"/>
        <w:ind w:firstLine="708"/>
        <w:rPr>
          <w:szCs w:val="22"/>
        </w:rPr>
      </w:pPr>
      <w:r w:rsidRPr="00174F05">
        <w:t>Účastník řízení ve stanovené lhůtě neuplatnil</w:t>
      </w:r>
      <w:r w:rsidR="00174F05">
        <w:t xml:space="preserve"> žádné</w:t>
      </w:r>
      <w:r w:rsidRPr="00174F05">
        <w:t xml:space="preserve"> připomínky.</w:t>
      </w:r>
    </w:p>
    <w:p w14:paraId="06E12D64" w14:textId="77777777" w:rsidR="00B847AF" w:rsidRPr="00CC440A" w:rsidRDefault="00B847AF" w:rsidP="00B847AF">
      <w:pPr>
        <w:spacing w:after="240"/>
        <w:jc w:val="center"/>
        <w:rPr>
          <w:i/>
        </w:rPr>
      </w:pPr>
      <w:r w:rsidRPr="00CC440A">
        <w:rPr>
          <w:i/>
        </w:rPr>
        <w:t>***</w:t>
      </w:r>
    </w:p>
    <w:p w14:paraId="0796FF4B" w14:textId="77777777" w:rsidR="00B847AF" w:rsidRPr="00CC440A" w:rsidRDefault="00B847AF" w:rsidP="00B847AF">
      <w:pPr>
        <w:spacing w:after="240"/>
        <w:ind w:firstLine="709"/>
        <w:rPr>
          <w:i/>
        </w:rPr>
      </w:pPr>
      <w:r w:rsidRPr="00CC440A">
        <w:rPr>
          <w:i/>
        </w:rPr>
        <w:t xml:space="preserve">Správní orgán zveřejnil návrh rozhodnutí na základě § 130 </w:t>
      </w:r>
      <w:bookmarkStart w:id="0" w:name="_GoBack"/>
      <w:bookmarkEnd w:id="0"/>
      <w:r w:rsidRPr="00CC440A">
        <w:rPr>
          <w:i/>
        </w:rPr>
        <w:t>Zákona a podle Pravidel Českého telekomunikačního úřadu pro vedení konzultací na diskusním místě včetně výzvy k uplatnění připomínek na diskusním místě dne</w:t>
      </w:r>
      <w:proofErr w:type="gramStart"/>
      <w:r w:rsidRPr="00CC440A">
        <w:rPr>
          <w:i/>
        </w:rPr>
        <w:t xml:space="preserve"> </w:t>
      </w:r>
      <w:r>
        <w:rPr>
          <w:i/>
        </w:rPr>
        <w:t>….</w:t>
      </w:r>
      <w:proofErr w:type="gramEnd"/>
      <w:r>
        <w:rPr>
          <w:i/>
        </w:rPr>
        <w:t>.</w:t>
      </w:r>
      <w:r w:rsidRPr="00CC440A">
        <w:rPr>
          <w:i/>
        </w:rPr>
        <w:t xml:space="preserve"> 2017. Připomínky k návrhu rozhodnutí bylo možno uplatnit do </w:t>
      </w:r>
      <w:r>
        <w:rPr>
          <w:i/>
        </w:rPr>
        <w:t>….</w:t>
      </w:r>
      <w:r w:rsidRPr="00CC440A">
        <w:rPr>
          <w:i/>
        </w:rPr>
        <w:t xml:space="preserve"> 2017.</w:t>
      </w:r>
    </w:p>
    <w:p w14:paraId="46CC88EF" w14:textId="77777777" w:rsidR="00B847AF" w:rsidRPr="00CC440A" w:rsidRDefault="00B847AF" w:rsidP="00B847AF">
      <w:pPr>
        <w:spacing w:after="240"/>
        <w:ind w:firstLine="709"/>
        <w:rPr>
          <w:i/>
        </w:rPr>
      </w:pPr>
      <w:r w:rsidRPr="00CC440A">
        <w:rPr>
          <w:i/>
        </w:rPr>
        <w:t>V této lhůtě byla/nebyla uplatněna připomínka.</w:t>
      </w:r>
    </w:p>
    <w:p w14:paraId="2FAE0481" w14:textId="77777777" w:rsidR="00B847AF" w:rsidRPr="00CC440A" w:rsidRDefault="00B847AF" w:rsidP="00B847AF">
      <w:pPr>
        <w:spacing w:after="240"/>
        <w:jc w:val="center"/>
        <w:rPr>
          <w:i/>
        </w:rPr>
      </w:pPr>
      <w:r w:rsidRPr="00CC440A">
        <w:rPr>
          <w:i/>
        </w:rPr>
        <w:t>***</w:t>
      </w:r>
    </w:p>
    <w:p w14:paraId="41EF8DDF" w14:textId="77777777" w:rsidR="00B847AF" w:rsidRPr="00CC440A" w:rsidRDefault="00B847AF" w:rsidP="00B847AF">
      <w:pPr>
        <w:spacing w:before="240" w:after="240"/>
        <w:ind w:firstLine="709"/>
        <w:rPr>
          <w:i/>
        </w:rPr>
      </w:pPr>
      <w:r w:rsidRPr="00CC440A">
        <w:rPr>
          <w:i/>
        </w:rPr>
        <w:t>Rozhodnutí bylo konzultováno s Úřadem pro ochranu hospodářské soutěže. Předseda Úřadu pro ochranu hospodářské soutěže dopisem ze dne</w:t>
      </w:r>
      <w:proofErr w:type="gramStart"/>
      <w:r w:rsidRPr="00CC440A">
        <w:rPr>
          <w:i/>
        </w:rPr>
        <w:t xml:space="preserve"> </w:t>
      </w:r>
      <w:r>
        <w:rPr>
          <w:i/>
        </w:rPr>
        <w:t>….</w:t>
      </w:r>
      <w:proofErr w:type="gramEnd"/>
      <w:r>
        <w:rPr>
          <w:i/>
        </w:rPr>
        <w:t>.</w:t>
      </w:r>
      <w:r w:rsidRPr="00CC440A">
        <w:rPr>
          <w:i/>
        </w:rPr>
        <w:t xml:space="preserve"> 2017 sdělil, že k rozhodnutí má/nemá připomínky.</w:t>
      </w:r>
    </w:p>
    <w:p w14:paraId="1E228904" w14:textId="77777777" w:rsidR="00B847AF" w:rsidRPr="00CC440A" w:rsidRDefault="00B847AF" w:rsidP="00B847AF">
      <w:pPr>
        <w:spacing w:after="240"/>
        <w:jc w:val="center"/>
        <w:rPr>
          <w:i/>
        </w:rPr>
      </w:pPr>
      <w:r w:rsidRPr="00CC440A">
        <w:rPr>
          <w:i/>
        </w:rPr>
        <w:t>***</w:t>
      </w:r>
    </w:p>
    <w:p w14:paraId="2DEF3299" w14:textId="77777777" w:rsidR="00B847AF" w:rsidRPr="00B847AF" w:rsidRDefault="00B847AF" w:rsidP="00B847AF">
      <w:pPr>
        <w:spacing w:before="240" w:after="240"/>
        <w:ind w:firstLine="709"/>
        <w:rPr>
          <w:i/>
        </w:rPr>
      </w:pPr>
      <w:r w:rsidRPr="00B847AF">
        <w:rPr>
          <w:i/>
        </w:rPr>
        <w:t>Správní orgán dal účastníku řízení možnost, aby se v souladu s § 36 odst. 3 správního řádu vyjádřil k podkladům rozhodnutí a navrhl případně doplnění. Účastník řízení možnost seznámení se s podklady a možnost doplnění rozhodnutí ve stanoveném termínu využil/ nevyužil.</w:t>
      </w:r>
    </w:p>
    <w:p w14:paraId="4C74F0BF" w14:textId="77777777" w:rsidR="00B847AF" w:rsidRPr="00F36307" w:rsidRDefault="00B847AF" w:rsidP="00B847AF">
      <w:pPr>
        <w:spacing w:after="480"/>
        <w:ind w:firstLine="709"/>
      </w:pPr>
      <w:r w:rsidRPr="00F36307">
        <w:t>Na základě posouzení všech shora uvedených skutečností správní orgán rozhodl tak, jak je ve výroku tohoto rozhodnutí uvedeno.</w:t>
      </w:r>
    </w:p>
    <w:p w14:paraId="3D44AF12" w14:textId="77777777" w:rsidR="00B847AF" w:rsidRPr="00CF45CE" w:rsidRDefault="00B847AF" w:rsidP="00B847AF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Poučení:</w:t>
      </w:r>
    </w:p>
    <w:p w14:paraId="0EFD1DA8" w14:textId="77777777" w:rsidR="00B847AF" w:rsidRPr="00CF45CE" w:rsidRDefault="00B847AF" w:rsidP="00B847AF">
      <w:pPr>
        <w:spacing w:before="120" w:after="1680"/>
        <w:ind w:firstLine="709"/>
        <w:rPr>
          <w:snapToGrid w:val="0"/>
        </w:rPr>
      </w:pPr>
      <w:r w:rsidRPr="00CF45CE">
        <w:rPr>
          <w:snapToGrid w:val="0"/>
        </w:rPr>
        <w:t>Proti tomuto rozhodnutí není přípustný opravný prostředek.</w:t>
      </w:r>
    </w:p>
    <w:p w14:paraId="1F6780E3" w14:textId="77777777" w:rsidR="00B847AF" w:rsidRDefault="00B847AF" w:rsidP="00B847AF">
      <w:pPr>
        <w:spacing w:before="120" w:after="120"/>
        <w:ind w:left="4502"/>
        <w:jc w:val="center"/>
      </w:pPr>
      <w:r w:rsidRPr="00CF45CE">
        <w:t>Za Radu Českého telekomunikačního úřadu:</w:t>
      </w:r>
    </w:p>
    <w:p w14:paraId="60C8498C" w14:textId="77777777" w:rsidR="00B847AF" w:rsidRDefault="00B847AF" w:rsidP="00B847AF">
      <w:pPr>
        <w:spacing w:before="120" w:after="120"/>
        <w:ind w:left="4502"/>
        <w:jc w:val="center"/>
      </w:pPr>
    </w:p>
    <w:p w14:paraId="7EBA6BD4" w14:textId="77777777" w:rsidR="00B847AF" w:rsidRPr="00CF45CE" w:rsidRDefault="00B847AF" w:rsidP="00B847AF">
      <w:pPr>
        <w:spacing w:before="120" w:after="120"/>
        <w:ind w:left="4502"/>
        <w:jc w:val="center"/>
      </w:pPr>
    </w:p>
    <w:p w14:paraId="50C79A67" w14:textId="77777777" w:rsidR="00B847AF" w:rsidRPr="00CF45CE" w:rsidRDefault="00B847AF" w:rsidP="00B847AF">
      <w:pPr>
        <w:ind w:left="4500"/>
        <w:jc w:val="center"/>
        <w:rPr>
          <w:rFonts w:cs="Arial"/>
          <w:szCs w:val="22"/>
        </w:rPr>
      </w:pPr>
      <w:r>
        <w:rPr>
          <w:rFonts w:cs="Arial"/>
          <w:szCs w:val="22"/>
        </w:rPr>
        <w:t>Ing. Mgr.</w:t>
      </w:r>
      <w:r w:rsidRPr="00CF45C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Jaromír Novák</w:t>
      </w:r>
    </w:p>
    <w:p w14:paraId="147B3AF6" w14:textId="77777777" w:rsidR="00B847AF" w:rsidRPr="00CF45CE" w:rsidRDefault="00B847AF" w:rsidP="00B847AF">
      <w:pPr>
        <w:ind w:left="4500"/>
        <w:jc w:val="center"/>
        <w:rPr>
          <w:rFonts w:cs="Arial"/>
          <w:szCs w:val="22"/>
        </w:rPr>
      </w:pPr>
      <w:r w:rsidRPr="00CF45CE">
        <w:rPr>
          <w:rFonts w:cs="Arial"/>
          <w:szCs w:val="22"/>
        </w:rPr>
        <w:t>předseda Rady</w:t>
      </w:r>
    </w:p>
    <w:p w14:paraId="5691A52A" w14:textId="77777777" w:rsidR="00666644" w:rsidRDefault="00B847AF" w:rsidP="00AB23A3">
      <w:pPr>
        <w:ind w:left="4500"/>
        <w:jc w:val="center"/>
      </w:pPr>
      <w:r w:rsidRPr="00CF45CE">
        <w:rPr>
          <w:rFonts w:cs="Arial"/>
          <w:szCs w:val="22"/>
        </w:rPr>
        <w:t>Českého telekomunikačního úřadu</w:t>
      </w:r>
    </w:p>
    <w:sectPr w:rsidR="00666644" w:rsidSect="00A86766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2C2D3" w14:textId="77777777" w:rsidR="00451CC4" w:rsidRDefault="00451CC4" w:rsidP="00C95AC5">
      <w:r>
        <w:separator/>
      </w:r>
    </w:p>
  </w:endnote>
  <w:endnote w:type="continuationSeparator" w:id="0">
    <w:p w14:paraId="44A77A1A" w14:textId="77777777" w:rsidR="00451CC4" w:rsidRDefault="00451CC4" w:rsidP="00C9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0003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309DB1" w14:textId="77777777" w:rsidR="005D19A3" w:rsidRDefault="00A86766" w:rsidP="00A86766">
            <w:pPr>
              <w:pStyle w:val="Zpat"/>
            </w:pPr>
            <w:r>
              <w:tab/>
            </w:r>
            <w:r w:rsidR="005D19A3" w:rsidRPr="00985B9B">
              <w:t xml:space="preserve"> </w:t>
            </w:r>
            <w:r w:rsidR="005D19A3" w:rsidRPr="00985B9B">
              <w:rPr>
                <w:bCs/>
                <w:sz w:val="24"/>
                <w:szCs w:val="24"/>
              </w:rPr>
              <w:fldChar w:fldCharType="begin"/>
            </w:r>
            <w:r w:rsidR="005D19A3" w:rsidRPr="00985B9B">
              <w:rPr>
                <w:bCs/>
              </w:rPr>
              <w:instrText>PAGE</w:instrText>
            </w:r>
            <w:r w:rsidR="005D19A3" w:rsidRPr="00985B9B">
              <w:rPr>
                <w:bCs/>
                <w:sz w:val="24"/>
                <w:szCs w:val="24"/>
              </w:rPr>
              <w:fldChar w:fldCharType="separate"/>
            </w:r>
            <w:r w:rsidR="00174F05">
              <w:rPr>
                <w:bCs/>
                <w:noProof/>
              </w:rPr>
              <w:t>3</w:t>
            </w:r>
            <w:r w:rsidR="005D19A3" w:rsidRPr="00985B9B">
              <w:rPr>
                <w:bCs/>
                <w:sz w:val="24"/>
                <w:szCs w:val="24"/>
              </w:rPr>
              <w:fldChar w:fldCharType="end"/>
            </w:r>
            <w:r w:rsidR="005D19A3">
              <w:t>/</w:t>
            </w:r>
            <w:r w:rsidR="005D19A3" w:rsidRPr="00985B9B">
              <w:rPr>
                <w:bCs/>
                <w:sz w:val="24"/>
                <w:szCs w:val="24"/>
              </w:rPr>
              <w:fldChar w:fldCharType="begin"/>
            </w:r>
            <w:r w:rsidR="005D19A3" w:rsidRPr="00985B9B">
              <w:rPr>
                <w:bCs/>
              </w:rPr>
              <w:instrText>NUMPAGES</w:instrText>
            </w:r>
            <w:r w:rsidR="005D19A3" w:rsidRPr="00985B9B">
              <w:rPr>
                <w:bCs/>
                <w:sz w:val="24"/>
                <w:szCs w:val="24"/>
              </w:rPr>
              <w:fldChar w:fldCharType="separate"/>
            </w:r>
            <w:r w:rsidR="00174F05">
              <w:rPr>
                <w:bCs/>
                <w:noProof/>
              </w:rPr>
              <w:t>5</w:t>
            </w:r>
            <w:r w:rsidR="005D19A3" w:rsidRPr="00985B9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E9BB7" w14:textId="77777777" w:rsidR="005D19A3" w:rsidRDefault="005D19A3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28317" w14:textId="77777777" w:rsidR="00451CC4" w:rsidRDefault="00451CC4" w:rsidP="00C95AC5">
      <w:r>
        <w:separator/>
      </w:r>
    </w:p>
  </w:footnote>
  <w:footnote w:type="continuationSeparator" w:id="0">
    <w:p w14:paraId="309600D5" w14:textId="77777777" w:rsidR="00451CC4" w:rsidRDefault="00451CC4" w:rsidP="00C9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41D0B"/>
    <w:multiLevelType w:val="hybridMultilevel"/>
    <w:tmpl w:val="2446191A"/>
    <w:lvl w:ilvl="0" w:tplc="EC7A91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6D0147D"/>
    <w:multiLevelType w:val="hybridMultilevel"/>
    <w:tmpl w:val="C9D6D556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5F022E30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5C8E0C76"/>
    <w:multiLevelType w:val="hybridMultilevel"/>
    <w:tmpl w:val="AD726732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66261BF9"/>
    <w:multiLevelType w:val="hybridMultilevel"/>
    <w:tmpl w:val="AFE8FC50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073BF"/>
    <w:multiLevelType w:val="hybridMultilevel"/>
    <w:tmpl w:val="C9D6D556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5F022E30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">
    <w:nsid w:val="782B60DF"/>
    <w:multiLevelType w:val="hybridMultilevel"/>
    <w:tmpl w:val="43B27BB4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70"/>
    <w:rsid w:val="000319CA"/>
    <w:rsid w:val="00040A4B"/>
    <w:rsid w:val="000B2ED7"/>
    <w:rsid w:val="0010197C"/>
    <w:rsid w:val="00155668"/>
    <w:rsid w:val="00174F05"/>
    <w:rsid w:val="001C27F0"/>
    <w:rsid w:val="002066F1"/>
    <w:rsid w:val="002A5D7F"/>
    <w:rsid w:val="002B729B"/>
    <w:rsid w:val="002E2173"/>
    <w:rsid w:val="00336068"/>
    <w:rsid w:val="003F0862"/>
    <w:rsid w:val="00451CC4"/>
    <w:rsid w:val="00476BEC"/>
    <w:rsid w:val="00522C54"/>
    <w:rsid w:val="00527EE2"/>
    <w:rsid w:val="00587608"/>
    <w:rsid w:val="005A2070"/>
    <w:rsid w:val="005D19A3"/>
    <w:rsid w:val="00626E1D"/>
    <w:rsid w:val="00660621"/>
    <w:rsid w:val="00666644"/>
    <w:rsid w:val="00764E58"/>
    <w:rsid w:val="007B6C6E"/>
    <w:rsid w:val="008118B2"/>
    <w:rsid w:val="008A4B12"/>
    <w:rsid w:val="008A73B9"/>
    <w:rsid w:val="008C0DE0"/>
    <w:rsid w:val="008E46C9"/>
    <w:rsid w:val="0092441A"/>
    <w:rsid w:val="00985B9B"/>
    <w:rsid w:val="009D4F2B"/>
    <w:rsid w:val="009D745A"/>
    <w:rsid w:val="009E4FDD"/>
    <w:rsid w:val="00A86766"/>
    <w:rsid w:val="00AB23A3"/>
    <w:rsid w:val="00AC3880"/>
    <w:rsid w:val="00B847AF"/>
    <w:rsid w:val="00BD3614"/>
    <w:rsid w:val="00C105C2"/>
    <w:rsid w:val="00C95AC5"/>
    <w:rsid w:val="00CE1511"/>
    <w:rsid w:val="00D715A1"/>
    <w:rsid w:val="00DB04D7"/>
    <w:rsid w:val="00E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8974"/>
  <w15:chartTrackingRefBased/>
  <w15:docId w15:val="{DF3CA1E8-B2F2-499A-9037-943AE4B7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A207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5A2070"/>
    <w:pPr>
      <w:ind w:firstLine="426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A2070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070"/>
    <w:pPr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unhideWhenUsed/>
    <w:rsid w:val="00C95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5AC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5A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5AC5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7E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7EE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7EE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7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7EE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E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EE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47A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47AF"/>
    <w:rPr>
      <w:rFonts w:ascii="Arial" w:eastAsia="Times New Roman" w:hAnsi="Arial" w:cs="Times New Roman"/>
      <w:sz w:val="16"/>
      <w:szCs w:val="16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A86766"/>
  </w:style>
  <w:style w:type="paragraph" w:styleId="Revize">
    <w:name w:val="Revision"/>
    <w:hidden/>
    <w:uiPriority w:val="99"/>
    <w:semiHidden/>
    <w:rsid w:val="00174F05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E1AD1E-9B2A-FC42-8F03-87AB3228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2005</Words>
  <Characters>11830</Characters>
  <Application>Microsoft Macintosh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Jana</dc:creator>
  <cp:keywords/>
  <dc:description/>
  <cp:lastModifiedBy>Mirek Novák</cp:lastModifiedBy>
  <cp:revision>2</cp:revision>
  <dcterms:created xsi:type="dcterms:W3CDTF">2017-08-03T10:17:00Z</dcterms:created>
  <dcterms:modified xsi:type="dcterms:W3CDTF">2017-08-03T10:17:00Z</dcterms:modified>
</cp:coreProperties>
</file>