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9A35" w14:textId="77777777" w:rsidR="00507FD8" w:rsidRPr="00713561" w:rsidRDefault="00507FD8" w:rsidP="00713561">
      <w:pPr>
        <w:jc w:val="center"/>
        <w:rPr>
          <w:rFonts w:ascii="Arial" w:hAnsi="Arial" w:cs="Arial"/>
          <w:b/>
          <w:sz w:val="32"/>
          <w:szCs w:val="32"/>
        </w:rPr>
      </w:pPr>
      <w:r w:rsidRPr="00713561">
        <w:rPr>
          <w:rFonts w:ascii="Arial" w:hAnsi="Arial" w:cs="Arial"/>
          <w:b/>
          <w:sz w:val="32"/>
          <w:szCs w:val="32"/>
        </w:rPr>
        <w:t>Formulář pro uplatnění připomínek, stanovisek a názorů</w:t>
      </w:r>
    </w:p>
    <w:p w14:paraId="03A49097" w14:textId="77777777" w:rsidR="00507FD8" w:rsidRDefault="00507FD8" w:rsidP="00507FD8">
      <w:pPr>
        <w:rPr>
          <w:b/>
        </w:rPr>
      </w:pPr>
    </w:p>
    <w:p w14:paraId="5B4BA035" w14:textId="77777777" w:rsidR="00507FD8" w:rsidRDefault="00507FD8" w:rsidP="00507FD8">
      <w:pPr>
        <w:rPr>
          <w:b/>
        </w:rPr>
      </w:pPr>
    </w:p>
    <w:p w14:paraId="7F4E09A9" w14:textId="177AAB66" w:rsidR="00507FD8" w:rsidRPr="00E6618D" w:rsidRDefault="00507FD8" w:rsidP="00DA0D1C">
      <w:pPr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NÁZEV </w:t>
      </w:r>
      <w:r w:rsidRPr="00E6618D">
        <w:rPr>
          <w:rFonts w:ascii="Arial" w:hAnsi="Arial" w:cs="Arial"/>
          <w:b/>
          <w:caps/>
          <w:sz w:val="22"/>
          <w:szCs w:val="22"/>
        </w:rPr>
        <w:t>návrhu opatření</w:t>
      </w:r>
      <w:r w:rsidRPr="00E6618D">
        <w:rPr>
          <w:rFonts w:ascii="Arial" w:hAnsi="Arial" w:cs="Arial"/>
          <w:b/>
          <w:sz w:val="22"/>
          <w:szCs w:val="22"/>
        </w:rPr>
        <w:t xml:space="preserve"> KE KONZULTACI:</w:t>
      </w:r>
      <w:r w:rsidR="00DA0D1C">
        <w:rPr>
          <w:rFonts w:ascii="Arial" w:hAnsi="Arial" w:cs="Arial"/>
          <w:b/>
          <w:sz w:val="22"/>
          <w:szCs w:val="22"/>
        </w:rPr>
        <w:t xml:space="preserve"> </w:t>
      </w:r>
      <w:r w:rsidR="00763A33" w:rsidRPr="00763A33">
        <w:rPr>
          <w:rFonts w:ascii="Arial" w:hAnsi="Arial" w:cs="Arial"/>
          <w:sz w:val="22"/>
          <w:szCs w:val="22"/>
        </w:rPr>
        <w:t>VÝZVA k uplatnění připomínek k návrhu testu tří kritérií pro Trh mobilních služeb</w:t>
      </w:r>
    </w:p>
    <w:p w14:paraId="6FD594A0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  <w:u w:val="single"/>
        </w:rPr>
      </w:pPr>
    </w:p>
    <w:p w14:paraId="6FB39E41" w14:textId="74C1A873" w:rsidR="00507FD8" w:rsidRPr="00E6618D" w:rsidRDefault="00AA73AF" w:rsidP="00507FD8">
      <w:pPr>
        <w:rPr>
          <w:rFonts w:ascii="Arial" w:hAnsi="Arial" w:cs="Arial"/>
          <w:b/>
          <w:sz w:val="22"/>
          <w:szCs w:val="22"/>
        </w:rPr>
      </w:pPr>
      <w:r w:rsidRPr="0002076A">
        <w:rPr>
          <w:rFonts w:ascii="Arial" w:hAnsi="Arial" w:cs="Arial"/>
          <w:b/>
          <w:sz w:val="22"/>
          <w:szCs w:val="22"/>
        </w:rPr>
        <w:t>Čj.:</w:t>
      </w:r>
      <w:r w:rsidR="00DA0D1C">
        <w:rPr>
          <w:rFonts w:ascii="Arial" w:hAnsi="Arial" w:cs="Arial"/>
          <w:b/>
          <w:sz w:val="22"/>
          <w:szCs w:val="22"/>
        </w:rPr>
        <w:t xml:space="preserve"> </w:t>
      </w:r>
      <w:r w:rsidR="003130EC" w:rsidRPr="003130EC">
        <w:rPr>
          <w:rFonts w:ascii="Arial" w:hAnsi="Arial" w:cs="Arial"/>
          <w:sz w:val="22"/>
          <w:szCs w:val="22"/>
        </w:rPr>
        <w:t>ČTÚ-50 584/2017-611</w:t>
      </w:r>
    </w:p>
    <w:p w14:paraId="58CB259D" w14:textId="77777777" w:rsidR="00AA73AF" w:rsidRDefault="00AA73AF" w:rsidP="00507FD8">
      <w:pPr>
        <w:rPr>
          <w:rFonts w:ascii="Arial" w:hAnsi="Arial" w:cs="Arial"/>
          <w:b/>
          <w:sz w:val="22"/>
          <w:szCs w:val="22"/>
        </w:rPr>
      </w:pPr>
    </w:p>
    <w:p w14:paraId="046ED793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IDENTIFIKAČNÍ ÚDAJE DOTČENÉHO SUBJEKTU:</w:t>
      </w:r>
    </w:p>
    <w:p w14:paraId="2B50C638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54D12570" w14:textId="77777777" w:rsidR="00507FD8" w:rsidRPr="00DA0D1C" w:rsidRDefault="00507FD8" w:rsidP="00507FD8">
      <w:pPr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Obchodní firma / název / jméno a příjmení:</w:t>
      </w:r>
      <w:r w:rsidR="00DA0D1C">
        <w:rPr>
          <w:rFonts w:ascii="Arial" w:hAnsi="Arial" w:cs="Arial"/>
          <w:b/>
          <w:sz w:val="22"/>
          <w:szCs w:val="22"/>
        </w:rPr>
        <w:t xml:space="preserve"> </w:t>
      </w:r>
      <w:r w:rsidR="00DA0D1C" w:rsidRPr="00DA0D1C">
        <w:rPr>
          <w:rFonts w:ascii="Arial" w:hAnsi="Arial" w:cs="Arial"/>
          <w:sz w:val="22"/>
          <w:szCs w:val="22"/>
        </w:rPr>
        <w:t>O2 Czech Republic a.s.</w:t>
      </w:r>
    </w:p>
    <w:p w14:paraId="76962462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78FEB69D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IČ</w:t>
      </w:r>
      <w:r w:rsidR="00AB0CD0">
        <w:rPr>
          <w:rFonts w:ascii="Arial" w:hAnsi="Arial" w:cs="Arial"/>
          <w:b/>
          <w:sz w:val="22"/>
          <w:szCs w:val="22"/>
        </w:rPr>
        <w:t>O</w:t>
      </w:r>
      <w:r w:rsidRPr="00E6618D">
        <w:rPr>
          <w:rFonts w:ascii="Arial" w:hAnsi="Arial" w:cs="Arial"/>
          <w:b/>
          <w:sz w:val="22"/>
          <w:szCs w:val="22"/>
        </w:rPr>
        <w:t xml:space="preserve"> (bylo-li přiděleno):</w:t>
      </w:r>
      <w:r w:rsidR="00DA0D1C" w:rsidRPr="00DA0D1C">
        <w:t xml:space="preserve"> </w:t>
      </w:r>
      <w:r w:rsidR="00DA0D1C" w:rsidRPr="00DA0D1C">
        <w:rPr>
          <w:rFonts w:ascii="Arial" w:hAnsi="Arial" w:cs="Arial"/>
          <w:sz w:val="22"/>
          <w:szCs w:val="22"/>
        </w:rPr>
        <w:t>60193336</w:t>
      </w:r>
    </w:p>
    <w:p w14:paraId="5EB09E58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38B772CE" w14:textId="77777777" w:rsidR="00DA0D1C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Kontaktní osoba (vč. telefonního čísla a adresy elektronické pošty):</w:t>
      </w:r>
      <w:r w:rsidR="00DA0D1C">
        <w:rPr>
          <w:rFonts w:ascii="Arial" w:hAnsi="Arial" w:cs="Arial"/>
          <w:b/>
          <w:sz w:val="22"/>
          <w:szCs w:val="22"/>
        </w:rPr>
        <w:t xml:space="preserve"> </w:t>
      </w:r>
    </w:p>
    <w:p w14:paraId="70BC24B2" w14:textId="7643091D" w:rsidR="00507FD8" w:rsidRPr="00DA0D1C" w:rsidRDefault="00846904" w:rsidP="00507F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Miloš Koděra</w:t>
      </w:r>
      <w:r w:rsidR="00DA0D1C" w:rsidRPr="00DA0D1C">
        <w:rPr>
          <w:rFonts w:ascii="Arial" w:hAnsi="Arial" w:cs="Arial"/>
          <w:sz w:val="22"/>
          <w:szCs w:val="22"/>
        </w:rPr>
        <w:t>, 271 46</w:t>
      </w:r>
      <w:r>
        <w:rPr>
          <w:rFonts w:ascii="Arial" w:hAnsi="Arial" w:cs="Arial"/>
          <w:sz w:val="22"/>
          <w:szCs w:val="22"/>
        </w:rPr>
        <w:t>4</w:t>
      </w:r>
      <w:r w:rsidR="00DA0D1C" w:rsidRPr="00DA0D1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631</w:t>
      </w:r>
      <w:r w:rsidR="00DA0D1C" w:rsidRPr="00DA0D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milos.kodera</w:t>
      </w:r>
      <w:r w:rsidR="00DA0D1C" w:rsidRPr="00DA0D1C">
        <w:rPr>
          <w:rFonts w:ascii="Arial" w:hAnsi="Arial" w:cs="Arial"/>
          <w:sz w:val="22"/>
          <w:szCs w:val="22"/>
        </w:rPr>
        <w:t>@o2.cz</w:t>
      </w:r>
    </w:p>
    <w:p w14:paraId="7CD8B506" w14:textId="77777777" w:rsidR="004E04B6" w:rsidRDefault="004E04B6" w:rsidP="00507FD8">
      <w:pPr>
        <w:rPr>
          <w:rFonts w:ascii="Arial" w:hAnsi="Arial" w:cs="Arial"/>
          <w:b/>
          <w:sz w:val="22"/>
          <w:szCs w:val="22"/>
        </w:rPr>
      </w:pPr>
    </w:p>
    <w:p w14:paraId="20A5AAD5" w14:textId="77777777" w:rsidR="002721B1" w:rsidRPr="00E6618D" w:rsidRDefault="002721B1" w:rsidP="00507FD8">
      <w:pPr>
        <w:rPr>
          <w:rFonts w:ascii="Arial" w:hAnsi="Arial" w:cs="Arial"/>
          <w:b/>
          <w:sz w:val="22"/>
          <w:szCs w:val="22"/>
        </w:rPr>
      </w:pPr>
    </w:p>
    <w:p w14:paraId="0E976667" w14:textId="77777777" w:rsidR="00507FD8" w:rsidRPr="00713561" w:rsidRDefault="00507FD8" w:rsidP="00713561">
      <w:pPr>
        <w:rPr>
          <w:rFonts w:ascii="Arial" w:hAnsi="Arial" w:cs="Arial"/>
          <w:b/>
          <w:sz w:val="22"/>
          <w:szCs w:val="22"/>
        </w:rPr>
      </w:pPr>
      <w:r w:rsidRPr="00713561">
        <w:rPr>
          <w:rFonts w:ascii="Arial" w:hAnsi="Arial" w:cs="Arial"/>
          <w:b/>
          <w:sz w:val="22"/>
          <w:szCs w:val="22"/>
        </w:rPr>
        <w:t>DŮVĚRNOST POSKYTNUTÝCH INFORMACÍ:</w:t>
      </w:r>
    </w:p>
    <w:p w14:paraId="614039A9" w14:textId="77777777" w:rsidR="00050E29" w:rsidRDefault="00050E29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FD8" w:rsidRPr="00BC6BF8">
        <w:rPr>
          <w:rFonts w:ascii="Arial" w:hAnsi="Arial" w:cs="Arial"/>
          <w:sz w:val="22"/>
          <w:szCs w:val="22"/>
        </w:rPr>
        <w:t>Český telekomunikační úřad bude považovat zde poskytnuté informace za důvěrné, pouze pokud je dotčený subjekt označí jako důvěrné nebo jako obchodní tajemství.</w:t>
      </w:r>
    </w:p>
    <w:p w14:paraId="77F0E3BB" w14:textId="77777777" w:rsidR="00507FD8" w:rsidRPr="00E6618D" w:rsidRDefault="00507FD8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14:paraId="6F5D66E1" w14:textId="77777777" w:rsidR="00151122" w:rsidRDefault="001F587B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</w:t>
      </w:r>
      <w:r w:rsidRPr="00BC6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připomínku, popřípadě její část, za důvěrnou</w:t>
      </w:r>
      <w:r w:rsidRPr="00BC6BF8">
        <w:rPr>
          <w:rFonts w:ascii="Arial" w:hAnsi="Arial" w:cs="Arial"/>
          <w:sz w:val="22"/>
          <w:szCs w:val="22"/>
        </w:rPr>
        <w:t xml:space="preserve"> nebo jako obchodní tajemství</w:t>
      </w:r>
      <w:r>
        <w:rPr>
          <w:rFonts w:ascii="Arial" w:hAnsi="Arial" w:cs="Arial"/>
          <w:sz w:val="22"/>
          <w:szCs w:val="22"/>
        </w:rPr>
        <w:t xml:space="preserve">, pak taková připomínka nebude </w:t>
      </w:r>
      <w:r w:rsidR="00151122">
        <w:rPr>
          <w:rFonts w:ascii="Arial" w:hAnsi="Arial" w:cs="Arial"/>
          <w:sz w:val="22"/>
          <w:szCs w:val="22"/>
        </w:rPr>
        <w:t>uveřejněna na diskusním místě. Obdobně se postupuje i v případě stanovisek a názorů.</w:t>
      </w:r>
    </w:p>
    <w:p w14:paraId="6D40BFF2" w14:textId="77777777" w:rsidR="001F587B" w:rsidRPr="00BD272D" w:rsidRDefault="00151122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Připomínky, které nebudou uveřejněny </w:t>
      </w:r>
      <w:r w:rsidR="00050E29">
        <w:rPr>
          <w:rFonts w:ascii="Arial" w:hAnsi="Arial" w:cs="Arial"/>
          <w:sz w:val="22"/>
          <w:szCs w:val="22"/>
        </w:rPr>
        <w:t>na diskusním místě</w:t>
      </w:r>
      <w:r w:rsidR="00D055DC">
        <w:rPr>
          <w:rFonts w:ascii="Arial" w:hAnsi="Arial" w:cs="Arial"/>
          <w:sz w:val="22"/>
          <w:szCs w:val="22"/>
        </w:rPr>
        <w:t>,</w:t>
      </w:r>
      <w:r w:rsidR="00050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1F587B" w:rsidRPr="00BC6BF8">
        <w:rPr>
          <w:rFonts w:ascii="Arial" w:hAnsi="Arial" w:cs="Arial"/>
          <w:sz w:val="22"/>
          <w:szCs w:val="22"/>
        </w:rPr>
        <w:t>podle čl.</w:t>
      </w:r>
      <w:r w:rsidR="001F587B">
        <w:rPr>
          <w:rFonts w:ascii="Arial" w:hAnsi="Arial" w:cs="Arial"/>
          <w:sz w:val="22"/>
          <w:szCs w:val="22"/>
        </w:rPr>
        <w:t> 9 odst. 3 Pravidel</w:t>
      </w:r>
      <w:r w:rsidR="001F587B" w:rsidRPr="002721B1">
        <w:rPr>
          <w:rFonts w:ascii="Arial" w:hAnsi="Arial" w:cs="Arial"/>
          <w:b/>
          <w:sz w:val="22"/>
          <w:szCs w:val="22"/>
        </w:rPr>
        <w:t xml:space="preserve"> </w:t>
      </w:r>
      <w:r w:rsidR="001F587B" w:rsidRPr="002721B1">
        <w:rPr>
          <w:rFonts w:ascii="Arial" w:hAnsi="Arial" w:cs="Arial"/>
          <w:sz w:val="22"/>
          <w:szCs w:val="22"/>
        </w:rPr>
        <w:t>Českého telekomunikačního úřadu pro vedení konzultací na diskusním místě</w:t>
      </w:r>
      <w:r w:rsidR="00050E29">
        <w:rPr>
          <w:rFonts w:ascii="Arial" w:hAnsi="Arial" w:cs="Arial"/>
          <w:sz w:val="22"/>
          <w:szCs w:val="22"/>
        </w:rPr>
        <w:t xml:space="preserve"> </w:t>
      </w:r>
      <w:r w:rsidR="006F1D78">
        <w:rPr>
          <w:rFonts w:ascii="Arial" w:hAnsi="Arial" w:cs="Arial"/>
          <w:sz w:val="22"/>
          <w:szCs w:val="22"/>
        </w:rPr>
        <w:t>nevypořádávají</w:t>
      </w:r>
      <w:r w:rsidR="004752E6">
        <w:rPr>
          <w:rFonts w:ascii="Arial" w:hAnsi="Arial" w:cs="Arial"/>
          <w:sz w:val="22"/>
          <w:szCs w:val="22"/>
        </w:rPr>
        <w:t>.</w:t>
      </w:r>
    </w:p>
    <w:p w14:paraId="68108AA4" w14:textId="77777777" w:rsidR="00507FD8" w:rsidRPr="00E6618D" w:rsidRDefault="00507FD8" w:rsidP="00507FD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DA3ACCA" w14:textId="646186EE" w:rsidR="00D27890" w:rsidRDefault="00D278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B289AD8" w14:textId="094322A2" w:rsidR="00507FD8" w:rsidRPr="00D27890" w:rsidRDefault="00507FD8" w:rsidP="00F74723">
      <w:pPr>
        <w:pStyle w:val="Nadpis1"/>
      </w:pPr>
      <w:r w:rsidRPr="00E6618D">
        <w:lastRenderedPageBreak/>
        <w:t>I.</w:t>
      </w:r>
      <w:r w:rsidRPr="00E6618D">
        <w:tab/>
        <w:t>PŘIPOMÍNKY k jednotlivým částem/ustanovením návrhu opatření:</w:t>
      </w:r>
    </w:p>
    <w:p w14:paraId="0FC94C07" w14:textId="77777777" w:rsidR="00507FD8" w:rsidRPr="00E6618D" w:rsidRDefault="00507FD8" w:rsidP="00507FD8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647170C9" w14:textId="2FB5927A" w:rsidR="00952E1E" w:rsidRPr="000A7189" w:rsidRDefault="00286B01" w:rsidP="00952E1E">
      <w:pPr>
        <w:pStyle w:val="Nadpis2"/>
        <w:rPr>
          <w:szCs w:val="26"/>
        </w:rPr>
      </w:pPr>
      <w:r w:rsidRPr="00286B01">
        <w:rPr>
          <w:szCs w:val="26"/>
        </w:rPr>
        <w:t>Zastavení</w:t>
      </w:r>
      <w:r w:rsidR="00952E1E" w:rsidRPr="000A7189">
        <w:rPr>
          <w:szCs w:val="26"/>
        </w:rPr>
        <w:t xml:space="preserve"> </w:t>
      </w:r>
      <w:r w:rsidRPr="00186E85">
        <w:rPr>
          <w:szCs w:val="26"/>
        </w:rPr>
        <w:t>identifikace a analýzy</w:t>
      </w:r>
      <w:r w:rsidRPr="000A7189">
        <w:rPr>
          <w:szCs w:val="26"/>
        </w:rPr>
        <w:t xml:space="preserve"> </w:t>
      </w:r>
      <w:r w:rsidR="00952E1E" w:rsidRPr="000A7189">
        <w:rPr>
          <w:szCs w:val="26"/>
        </w:rPr>
        <w:t>relevantního trhu, který není uveden v Doporučení komise</w:t>
      </w:r>
    </w:p>
    <w:p w14:paraId="6C6095C2" w14:textId="77777777" w:rsidR="00952E1E" w:rsidRDefault="00952E1E" w:rsidP="00952E1E">
      <w:pPr>
        <w:ind w:firstLine="357"/>
        <w:rPr>
          <w:rFonts w:ascii="Arial" w:hAnsi="Arial" w:cs="Arial"/>
          <w:i/>
          <w:sz w:val="22"/>
          <w:szCs w:val="22"/>
        </w:rPr>
      </w:pPr>
    </w:p>
    <w:p w14:paraId="16F5A688" w14:textId="77777777" w:rsidR="00952E1E" w:rsidRPr="00E6618D" w:rsidRDefault="00952E1E" w:rsidP="00952E1E">
      <w:pPr>
        <w:ind w:firstLine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14:paraId="505E1435" w14:textId="77777777" w:rsidR="00952E1E" w:rsidRDefault="00952E1E" w:rsidP="00952E1E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0C03BBED" w14:textId="63C12C75" w:rsidR="00952E1E" w:rsidRPr="00952E1E" w:rsidRDefault="00952E1E" w:rsidP="00952E1E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základě </w:t>
      </w:r>
      <w:r w:rsidR="009524A0">
        <w:rPr>
          <w:rFonts w:ascii="Arial" w:hAnsi="Arial" w:cs="Arial"/>
          <w:b/>
          <w:sz w:val="22"/>
          <w:szCs w:val="22"/>
        </w:rPr>
        <w:t>neopodstatněnosti snahy Českého telekomunikačního úřadu o vymezení nového relevantního trhu, který není obsahem Doporučení Komise</w:t>
      </w:r>
      <w:r w:rsidR="00CE3BDF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="009524A0">
        <w:rPr>
          <w:rFonts w:ascii="Arial" w:hAnsi="Arial" w:cs="Arial"/>
          <w:b/>
          <w:sz w:val="22"/>
          <w:szCs w:val="22"/>
        </w:rPr>
        <w:t xml:space="preserve">, </w:t>
      </w:r>
      <w:r w:rsidR="009F591A">
        <w:rPr>
          <w:rFonts w:ascii="Arial" w:hAnsi="Arial" w:cs="Arial"/>
          <w:b/>
          <w:sz w:val="22"/>
          <w:szCs w:val="22"/>
        </w:rPr>
        <w:t xml:space="preserve">navrhujeme </w:t>
      </w:r>
      <w:r w:rsidR="009524A0">
        <w:rPr>
          <w:rFonts w:ascii="Arial" w:hAnsi="Arial" w:cs="Arial"/>
          <w:b/>
          <w:sz w:val="22"/>
          <w:szCs w:val="22"/>
        </w:rPr>
        <w:t xml:space="preserve">zastavení </w:t>
      </w:r>
      <w:r w:rsidR="009F591A">
        <w:rPr>
          <w:rFonts w:ascii="Arial" w:hAnsi="Arial" w:cs="Arial"/>
          <w:b/>
          <w:sz w:val="22"/>
          <w:szCs w:val="22"/>
        </w:rPr>
        <w:t>celého procesu</w:t>
      </w:r>
      <w:r w:rsidR="00212DEE">
        <w:rPr>
          <w:rFonts w:ascii="Arial" w:hAnsi="Arial" w:cs="Arial"/>
          <w:b/>
          <w:sz w:val="22"/>
          <w:szCs w:val="22"/>
        </w:rPr>
        <w:t xml:space="preserve"> </w:t>
      </w:r>
      <w:r w:rsidR="00286B01">
        <w:rPr>
          <w:rFonts w:ascii="Arial" w:hAnsi="Arial" w:cs="Arial"/>
          <w:b/>
          <w:sz w:val="22"/>
          <w:szCs w:val="22"/>
        </w:rPr>
        <w:t xml:space="preserve">identifikace a </w:t>
      </w:r>
      <w:r w:rsidR="00212DEE">
        <w:rPr>
          <w:rFonts w:ascii="Arial" w:hAnsi="Arial" w:cs="Arial"/>
          <w:b/>
          <w:sz w:val="22"/>
          <w:szCs w:val="22"/>
        </w:rPr>
        <w:t xml:space="preserve">analýzy </w:t>
      </w:r>
      <w:r w:rsidR="006E5666">
        <w:rPr>
          <w:rFonts w:ascii="Arial" w:hAnsi="Arial" w:cs="Arial"/>
          <w:b/>
          <w:sz w:val="22"/>
          <w:szCs w:val="22"/>
        </w:rPr>
        <w:t xml:space="preserve">tohoto </w:t>
      </w:r>
      <w:r w:rsidR="00212DEE">
        <w:rPr>
          <w:rFonts w:ascii="Arial" w:hAnsi="Arial" w:cs="Arial"/>
          <w:b/>
          <w:sz w:val="22"/>
          <w:szCs w:val="22"/>
        </w:rPr>
        <w:t>relevantního trhu</w:t>
      </w:r>
      <w:r w:rsidR="0096736C">
        <w:rPr>
          <w:rFonts w:ascii="Arial" w:hAnsi="Arial" w:cs="Arial"/>
          <w:b/>
          <w:sz w:val="22"/>
          <w:szCs w:val="22"/>
        </w:rPr>
        <w:t>.</w:t>
      </w:r>
    </w:p>
    <w:p w14:paraId="1D787631" w14:textId="77777777" w:rsidR="00CE3BDF" w:rsidRDefault="00CE3BDF" w:rsidP="00952E1E">
      <w:pPr>
        <w:ind w:firstLine="357"/>
        <w:rPr>
          <w:rFonts w:ascii="Arial" w:hAnsi="Arial" w:cs="Arial"/>
          <w:i/>
          <w:sz w:val="22"/>
          <w:szCs w:val="22"/>
        </w:rPr>
      </w:pPr>
    </w:p>
    <w:p w14:paraId="09A4D93B" w14:textId="77777777" w:rsidR="00952E1E" w:rsidRDefault="00952E1E" w:rsidP="00952E1E">
      <w:pPr>
        <w:ind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0146C962" w14:textId="77777777" w:rsidR="005F472B" w:rsidRDefault="005F472B" w:rsidP="00212DEE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525BCC86" w14:textId="31F8AEF6" w:rsidR="00F4511F" w:rsidRDefault="006E5666" w:rsidP="00212DEE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 je všeobecně známo, </w:t>
      </w:r>
      <w:r w:rsidR="00212DEE">
        <w:rPr>
          <w:rFonts w:ascii="Arial" w:hAnsi="Arial" w:cs="Arial"/>
          <w:sz w:val="22"/>
          <w:szCs w:val="22"/>
        </w:rPr>
        <w:t xml:space="preserve">Český telekomunikační úřad </w:t>
      </w:r>
      <w:r w:rsidR="00FE42FE">
        <w:rPr>
          <w:rFonts w:ascii="Arial" w:hAnsi="Arial" w:cs="Arial"/>
          <w:sz w:val="22"/>
          <w:szCs w:val="22"/>
        </w:rPr>
        <w:t xml:space="preserve">(dále jen „ČTÚ“) </w:t>
      </w:r>
      <w:r>
        <w:rPr>
          <w:rFonts w:ascii="Arial" w:hAnsi="Arial" w:cs="Arial"/>
          <w:sz w:val="22"/>
          <w:szCs w:val="22"/>
        </w:rPr>
        <w:t xml:space="preserve">se </w:t>
      </w:r>
      <w:r w:rsidR="00212DEE">
        <w:rPr>
          <w:rFonts w:ascii="Arial" w:hAnsi="Arial" w:cs="Arial"/>
          <w:sz w:val="22"/>
          <w:szCs w:val="22"/>
        </w:rPr>
        <w:t>již jednou</w:t>
      </w:r>
      <w:r w:rsidR="009524A0">
        <w:rPr>
          <w:rFonts w:ascii="Arial" w:hAnsi="Arial" w:cs="Arial"/>
          <w:sz w:val="22"/>
          <w:szCs w:val="22"/>
        </w:rPr>
        <w:t>,</w:t>
      </w:r>
      <w:r w:rsidR="00212DEE">
        <w:rPr>
          <w:rFonts w:ascii="Arial" w:hAnsi="Arial" w:cs="Arial"/>
          <w:sz w:val="22"/>
          <w:szCs w:val="22"/>
        </w:rPr>
        <w:t xml:space="preserve"> a to v roce 2012</w:t>
      </w:r>
      <w:r w:rsidR="00430A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pokoušel zavést regulaci na jím definovaném relevantním trhu, který ale nebyl součástí Doporučení Komise. Tehdy </w:t>
      </w:r>
      <w:r w:rsidR="00FE42FE">
        <w:rPr>
          <w:rFonts w:ascii="Arial" w:hAnsi="Arial" w:cs="Arial"/>
          <w:sz w:val="22"/>
          <w:szCs w:val="22"/>
        </w:rPr>
        <w:t xml:space="preserve">ČTÚ </w:t>
      </w:r>
      <w:r w:rsidR="00212DEE">
        <w:rPr>
          <w:rFonts w:ascii="Arial" w:hAnsi="Arial" w:cs="Arial"/>
          <w:sz w:val="22"/>
          <w:szCs w:val="22"/>
        </w:rPr>
        <w:t xml:space="preserve">vymezil testem tří kritérií </w:t>
      </w:r>
      <w:r>
        <w:rPr>
          <w:rFonts w:ascii="Arial" w:hAnsi="Arial" w:cs="Arial"/>
          <w:sz w:val="22"/>
          <w:szCs w:val="22"/>
        </w:rPr>
        <w:t xml:space="preserve">tento relevantní </w:t>
      </w:r>
      <w:r w:rsidR="00212DEE">
        <w:rPr>
          <w:rFonts w:ascii="Arial" w:hAnsi="Arial" w:cs="Arial"/>
          <w:sz w:val="22"/>
          <w:szCs w:val="22"/>
        </w:rPr>
        <w:t>trh</w:t>
      </w:r>
      <w:r>
        <w:rPr>
          <w:rFonts w:ascii="Arial" w:hAnsi="Arial" w:cs="Arial"/>
          <w:sz w:val="22"/>
          <w:szCs w:val="22"/>
        </w:rPr>
        <w:t>, avšak</w:t>
      </w:r>
      <w:r w:rsidR="00212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už </w:t>
      </w:r>
      <w:r w:rsidR="00212DEE">
        <w:rPr>
          <w:rFonts w:ascii="Arial" w:hAnsi="Arial" w:cs="Arial"/>
          <w:sz w:val="22"/>
          <w:szCs w:val="22"/>
        </w:rPr>
        <w:t xml:space="preserve">nikdy nedokončil následnou </w:t>
      </w:r>
      <w:r>
        <w:rPr>
          <w:rFonts w:ascii="Arial" w:hAnsi="Arial" w:cs="Arial"/>
          <w:sz w:val="22"/>
          <w:szCs w:val="22"/>
        </w:rPr>
        <w:t xml:space="preserve">povinnou </w:t>
      </w:r>
      <w:r w:rsidR="00212DEE">
        <w:rPr>
          <w:rFonts w:ascii="Arial" w:hAnsi="Arial" w:cs="Arial"/>
          <w:sz w:val="22"/>
          <w:szCs w:val="22"/>
        </w:rPr>
        <w:t>analýzu relevantních trhů</w:t>
      </w:r>
      <w:r>
        <w:rPr>
          <w:rFonts w:ascii="Arial" w:hAnsi="Arial" w:cs="Arial"/>
          <w:sz w:val="22"/>
          <w:szCs w:val="22"/>
        </w:rPr>
        <w:t>.</w:t>
      </w:r>
      <w:r w:rsidR="00212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212DEE">
        <w:rPr>
          <w:rFonts w:ascii="Arial" w:hAnsi="Arial" w:cs="Arial"/>
          <w:sz w:val="22"/>
          <w:szCs w:val="22"/>
        </w:rPr>
        <w:t xml:space="preserve"> roce 2015 byl </w:t>
      </w:r>
      <w:r w:rsidR="00FE42FE">
        <w:rPr>
          <w:rFonts w:ascii="Arial" w:hAnsi="Arial" w:cs="Arial"/>
          <w:sz w:val="22"/>
          <w:szCs w:val="22"/>
        </w:rPr>
        <w:t xml:space="preserve">ČTÚ </w:t>
      </w:r>
      <w:r w:rsidR="00212DEE">
        <w:rPr>
          <w:rFonts w:ascii="Arial" w:hAnsi="Arial" w:cs="Arial"/>
          <w:sz w:val="22"/>
          <w:szCs w:val="22"/>
        </w:rPr>
        <w:t>nucen po provedení nového testu tří kritérií relevantní trh zrušit</w:t>
      </w:r>
      <w:r>
        <w:rPr>
          <w:rFonts w:ascii="Arial" w:hAnsi="Arial" w:cs="Arial"/>
          <w:sz w:val="22"/>
          <w:szCs w:val="22"/>
        </w:rPr>
        <w:t>, a to</w:t>
      </w:r>
      <w:r w:rsidRPr="006E5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 odůvodněním přirozeného vstupu subjektů </w:t>
      </w:r>
      <w:r w:rsidR="00FE42FE">
        <w:rPr>
          <w:rFonts w:ascii="Arial" w:hAnsi="Arial" w:cs="Arial"/>
          <w:sz w:val="22"/>
          <w:szCs w:val="22"/>
        </w:rPr>
        <w:t xml:space="preserve">typu MVNO </w:t>
      </w:r>
      <w:r w:rsidR="00AE173F">
        <w:rPr>
          <w:rFonts w:ascii="Arial" w:hAnsi="Arial" w:cs="Arial"/>
          <w:sz w:val="22"/>
          <w:szCs w:val="22"/>
        </w:rPr>
        <w:t xml:space="preserve">(mobilních virtuálních operátorů) </w:t>
      </w:r>
      <w:r w:rsidR="00FE42FE">
        <w:rPr>
          <w:rFonts w:ascii="Arial" w:hAnsi="Arial" w:cs="Arial"/>
          <w:sz w:val="22"/>
          <w:szCs w:val="22"/>
        </w:rPr>
        <w:t xml:space="preserve">bez nutnosti regulačních zásahů </w:t>
      </w:r>
      <w:r>
        <w:rPr>
          <w:rFonts w:ascii="Arial" w:hAnsi="Arial" w:cs="Arial"/>
          <w:sz w:val="22"/>
          <w:szCs w:val="22"/>
        </w:rPr>
        <w:t xml:space="preserve">a </w:t>
      </w:r>
      <w:r w:rsidR="00FE42FE">
        <w:rPr>
          <w:rFonts w:ascii="Arial" w:hAnsi="Arial" w:cs="Arial"/>
          <w:sz w:val="22"/>
          <w:szCs w:val="22"/>
        </w:rPr>
        <w:t>s tím souvisejícím zdravým</w:t>
      </w:r>
      <w:r>
        <w:rPr>
          <w:rFonts w:ascii="Arial" w:hAnsi="Arial" w:cs="Arial"/>
          <w:sz w:val="22"/>
          <w:szCs w:val="22"/>
        </w:rPr>
        <w:t xml:space="preserve"> vývoje</w:t>
      </w:r>
      <w:r w:rsidR="00FE42F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na telekomunikačním trhu v segmentu mobilních služeb elektronických komunikací</w:t>
      </w:r>
      <w:r w:rsidR="00212DEE">
        <w:rPr>
          <w:rFonts w:ascii="Arial" w:hAnsi="Arial" w:cs="Arial"/>
          <w:sz w:val="22"/>
          <w:szCs w:val="22"/>
        </w:rPr>
        <w:t>.</w:t>
      </w:r>
      <w:r w:rsidR="00582DF3">
        <w:rPr>
          <w:rFonts w:ascii="Arial" w:hAnsi="Arial" w:cs="Arial"/>
          <w:sz w:val="22"/>
          <w:szCs w:val="22"/>
        </w:rPr>
        <w:t xml:space="preserve"> </w:t>
      </w:r>
    </w:p>
    <w:p w14:paraId="00255EF2" w14:textId="77777777" w:rsidR="00F4511F" w:rsidRDefault="00F4511F" w:rsidP="00212DEE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ACD1564" w14:textId="1A295F70" w:rsidR="00D159DD" w:rsidRDefault="006E5666" w:rsidP="00212DEE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Společnost O2 </w:t>
      </w:r>
      <w:r w:rsidRPr="00582DF3">
        <w:rPr>
          <w:rFonts w:ascii="Arial" w:hAnsi="Arial" w:cs="Arial"/>
          <w:sz w:val="22"/>
          <w:szCs w:val="22"/>
        </w:rPr>
        <w:t xml:space="preserve">Czech Republic a.s. </w:t>
      </w:r>
      <w:r w:rsidR="00FE42FE">
        <w:rPr>
          <w:rFonts w:ascii="Arial" w:hAnsi="Arial" w:cs="Arial"/>
          <w:sz w:val="22"/>
          <w:szCs w:val="22"/>
        </w:rPr>
        <w:t xml:space="preserve">(dále jen „společnost O2“) si není vědoma žádných významných změn od roku 2015, které by od této doby až do současnosti nastaly a které by jakkoliv odůvodňovaly změnu v tomto přístupu ze strany </w:t>
      </w:r>
      <w:r w:rsidR="007403AF">
        <w:rPr>
          <w:rFonts w:ascii="Arial" w:hAnsi="Arial" w:cs="Arial"/>
          <w:sz w:val="22"/>
          <w:szCs w:val="22"/>
        </w:rPr>
        <w:t xml:space="preserve">ČTÚ </w:t>
      </w:r>
      <w:r w:rsidR="00FE42FE">
        <w:rPr>
          <w:rFonts w:ascii="Arial" w:hAnsi="Arial" w:cs="Arial"/>
          <w:sz w:val="22"/>
          <w:szCs w:val="22"/>
        </w:rPr>
        <w:t>a přinášely tak potřebu opět jít stejnou cestou</w:t>
      </w:r>
      <w:r w:rsidR="00AB7870">
        <w:rPr>
          <w:rFonts w:ascii="Arial" w:hAnsi="Arial" w:cs="Arial"/>
          <w:sz w:val="22"/>
          <w:szCs w:val="22"/>
        </w:rPr>
        <w:t xml:space="preserve">, kdy přes </w:t>
      </w:r>
      <w:proofErr w:type="spellStart"/>
      <w:r w:rsidR="00AB7870">
        <w:rPr>
          <w:rFonts w:ascii="Arial" w:hAnsi="Arial" w:cs="Arial"/>
          <w:sz w:val="22"/>
          <w:szCs w:val="22"/>
        </w:rPr>
        <w:t>tříkriteriální</w:t>
      </w:r>
      <w:proofErr w:type="spellEnd"/>
      <w:r w:rsidR="00AB7870">
        <w:rPr>
          <w:rFonts w:ascii="Arial" w:hAnsi="Arial" w:cs="Arial"/>
          <w:sz w:val="22"/>
          <w:szCs w:val="22"/>
        </w:rPr>
        <w:t xml:space="preserve"> test a analýzu nově vymezeného relevantního trhu by bylo teoreticky možné zavést regulační opatření</w:t>
      </w:r>
      <w:r w:rsidR="00FE42FE">
        <w:rPr>
          <w:rFonts w:ascii="Arial" w:hAnsi="Arial" w:cs="Arial"/>
          <w:sz w:val="22"/>
          <w:szCs w:val="22"/>
        </w:rPr>
        <w:t xml:space="preserve">.  </w:t>
      </w:r>
      <w:r w:rsidR="00AB7870">
        <w:rPr>
          <w:rFonts w:ascii="Arial" w:hAnsi="Arial" w:cs="Arial"/>
          <w:sz w:val="22"/>
          <w:szCs w:val="22"/>
        </w:rPr>
        <w:t xml:space="preserve">Z těchto důvodů si i </w:t>
      </w:r>
      <w:r w:rsidR="007F15A5">
        <w:rPr>
          <w:rFonts w:ascii="Arial" w:hAnsi="Arial" w:cs="Arial"/>
          <w:sz w:val="22"/>
          <w:szCs w:val="22"/>
        </w:rPr>
        <w:t xml:space="preserve">ČTÚ </w:t>
      </w:r>
      <w:r w:rsidR="00AB7870">
        <w:rPr>
          <w:rFonts w:ascii="Arial" w:hAnsi="Arial" w:cs="Arial"/>
          <w:sz w:val="22"/>
          <w:szCs w:val="22"/>
        </w:rPr>
        <w:t xml:space="preserve">musí nyní velmi dobře uvědomovat, že tato jeho opětovná snaha </w:t>
      </w:r>
      <w:r w:rsidR="00FE42FE">
        <w:rPr>
          <w:rFonts w:ascii="Arial" w:hAnsi="Arial" w:cs="Arial"/>
          <w:sz w:val="22"/>
          <w:szCs w:val="22"/>
        </w:rPr>
        <w:t xml:space="preserve">nemůže </w:t>
      </w:r>
      <w:r w:rsidR="00AB7870">
        <w:rPr>
          <w:rFonts w:ascii="Arial" w:hAnsi="Arial" w:cs="Arial"/>
          <w:sz w:val="22"/>
          <w:szCs w:val="22"/>
        </w:rPr>
        <w:t xml:space="preserve">nakonec </w:t>
      </w:r>
      <w:r w:rsidR="00FE42FE">
        <w:rPr>
          <w:rFonts w:ascii="Arial" w:hAnsi="Arial" w:cs="Arial"/>
          <w:sz w:val="22"/>
          <w:szCs w:val="22"/>
        </w:rPr>
        <w:t>skončit jinak než zastavením této analýzy relevantního trhu</w:t>
      </w:r>
      <w:r w:rsidR="007403AF">
        <w:rPr>
          <w:rFonts w:ascii="Arial" w:hAnsi="Arial" w:cs="Arial"/>
          <w:sz w:val="22"/>
          <w:szCs w:val="22"/>
        </w:rPr>
        <w:t>,</w:t>
      </w:r>
      <w:r w:rsidR="007F15A5">
        <w:rPr>
          <w:rFonts w:ascii="Arial" w:hAnsi="Arial" w:cs="Arial"/>
          <w:sz w:val="22"/>
          <w:szCs w:val="22"/>
        </w:rPr>
        <w:t xml:space="preserve"> jak se </w:t>
      </w:r>
      <w:r w:rsidR="007403AF">
        <w:rPr>
          <w:rFonts w:ascii="Arial" w:hAnsi="Arial" w:cs="Arial"/>
          <w:sz w:val="22"/>
          <w:szCs w:val="22"/>
        </w:rPr>
        <w:t xml:space="preserve">už </w:t>
      </w:r>
      <w:r w:rsidR="007F15A5">
        <w:rPr>
          <w:rFonts w:ascii="Arial" w:hAnsi="Arial" w:cs="Arial"/>
          <w:sz w:val="22"/>
          <w:szCs w:val="22"/>
        </w:rPr>
        <w:t>stalo v roce 2015</w:t>
      </w:r>
      <w:r w:rsidR="00FE42FE">
        <w:rPr>
          <w:rFonts w:ascii="Arial" w:hAnsi="Arial" w:cs="Arial"/>
          <w:sz w:val="22"/>
          <w:szCs w:val="22"/>
        </w:rPr>
        <w:t xml:space="preserve">. </w:t>
      </w:r>
    </w:p>
    <w:p w14:paraId="19A0730A" w14:textId="77777777" w:rsidR="00D159DD" w:rsidRDefault="00D159DD" w:rsidP="00212DEE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B69F371" w14:textId="2E1A1558" w:rsidR="00D159DD" w:rsidRDefault="00AB7870" w:rsidP="00212DEE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 je v tom, že Č</w:t>
      </w:r>
      <w:r w:rsidR="007F15A5">
        <w:rPr>
          <w:rFonts w:ascii="Arial" w:hAnsi="Arial" w:cs="Arial"/>
          <w:sz w:val="22"/>
          <w:szCs w:val="22"/>
        </w:rPr>
        <w:t>TÚ</w:t>
      </w:r>
      <w:r>
        <w:rPr>
          <w:rFonts w:ascii="Arial" w:hAnsi="Arial" w:cs="Arial"/>
          <w:sz w:val="22"/>
          <w:szCs w:val="22"/>
        </w:rPr>
        <w:t xml:space="preserve"> předchozí výše popsanou neúspěšnou </w:t>
      </w:r>
      <w:r w:rsidR="007403AF">
        <w:rPr>
          <w:rFonts w:ascii="Arial" w:hAnsi="Arial" w:cs="Arial"/>
          <w:sz w:val="22"/>
          <w:szCs w:val="22"/>
        </w:rPr>
        <w:t xml:space="preserve">snahu </w:t>
      </w:r>
      <w:r>
        <w:rPr>
          <w:rFonts w:ascii="Arial" w:hAnsi="Arial" w:cs="Arial"/>
          <w:sz w:val="22"/>
          <w:szCs w:val="22"/>
        </w:rPr>
        <w:t xml:space="preserve">o zavedení </w:t>
      </w:r>
      <w:r w:rsidR="007403AF">
        <w:rPr>
          <w:rFonts w:ascii="Arial" w:hAnsi="Arial" w:cs="Arial"/>
          <w:sz w:val="22"/>
          <w:szCs w:val="22"/>
        </w:rPr>
        <w:t xml:space="preserve">ex ante </w:t>
      </w:r>
      <w:r>
        <w:rPr>
          <w:rFonts w:ascii="Arial" w:hAnsi="Arial" w:cs="Arial"/>
          <w:sz w:val="22"/>
          <w:szCs w:val="22"/>
        </w:rPr>
        <w:t>regulace na jím vymezeném relevantním trhu mezi roky 2012 až 2015 v konečném důsledku vyhodnotil jako úspěšnou</w:t>
      </w:r>
      <w:r w:rsidR="007403AF">
        <w:rPr>
          <w:rFonts w:ascii="Arial" w:hAnsi="Arial" w:cs="Arial"/>
          <w:sz w:val="22"/>
          <w:szCs w:val="22"/>
        </w:rPr>
        <w:t xml:space="preserve"> akci</w:t>
      </w:r>
      <w:r w:rsidR="007F15A5">
        <w:rPr>
          <w:rFonts w:ascii="Arial" w:hAnsi="Arial" w:cs="Arial"/>
          <w:sz w:val="22"/>
          <w:szCs w:val="22"/>
        </w:rPr>
        <w:t>, protože ČTÚ</w:t>
      </w:r>
      <w:r w:rsidR="007403AF">
        <w:rPr>
          <w:rFonts w:ascii="Arial" w:hAnsi="Arial" w:cs="Arial"/>
          <w:sz w:val="22"/>
          <w:szCs w:val="22"/>
        </w:rPr>
        <w:t xml:space="preserve"> je přesvědčen</w:t>
      </w:r>
      <w:r w:rsidR="007F15A5">
        <w:rPr>
          <w:rFonts w:ascii="Arial" w:hAnsi="Arial" w:cs="Arial"/>
          <w:sz w:val="22"/>
          <w:szCs w:val="22"/>
        </w:rPr>
        <w:t>, že již pouhá jeho snaha o zavedení této regulace</w:t>
      </w:r>
      <w:r w:rsidR="007403AF">
        <w:rPr>
          <w:rFonts w:ascii="Arial" w:hAnsi="Arial" w:cs="Arial"/>
          <w:sz w:val="22"/>
          <w:szCs w:val="22"/>
        </w:rPr>
        <w:t xml:space="preserve"> v podobě kroků, které ČTÚ v tomto učinil,</w:t>
      </w:r>
      <w:r w:rsidR="007F15A5">
        <w:rPr>
          <w:rFonts w:ascii="Arial" w:hAnsi="Arial" w:cs="Arial"/>
          <w:sz w:val="22"/>
          <w:szCs w:val="22"/>
        </w:rPr>
        <w:t xml:space="preserve"> vyvolala přirozený vstup subjektů MVNO bez regulačních zásahů</w:t>
      </w:r>
      <w:r w:rsidR="00F14BB7">
        <w:rPr>
          <w:rFonts w:ascii="Arial" w:hAnsi="Arial" w:cs="Arial"/>
          <w:sz w:val="22"/>
          <w:szCs w:val="22"/>
        </w:rPr>
        <w:t>,</w:t>
      </w:r>
      <w:r w:rsidR="007F15A5">
        <w:rPr>
          <w:rFonts w:ascii="Arial" w:hAnsi="Arial" w:cs="Arial"/>
          <w:sz w:val="22"/>
          <w:szCs w:val="22"/>
        </w:rPr>
        <w:t xml:space="preserve"> a kdyby tak ČTÚ býval nečinil, tak by ke vstupu subjektů MVNO na trh nedošlo. Toto je podle názoru společnosti O2 </w:t>
      </w:r>
      <w:r w:rsidR="007403AF">
        <w:rPr>
          <w:rFonts w:ascii="Arial" w:hAnsi="Arial" w:cs="Arial"/>
          <w:sz w:val="22"/>
          <w:szCs w:val="22"/>
        </w:rPr>
        <w:t xml:space="preserve">zcela </w:t>
      </w:r>
      <w:r w:rsidR="008E58B0">
        <w:rPr>
          <w:rFonts w:ascii="Arial" w:hAnsi="Arial" w:cs="Arial"/>
          <w:sz w:val="22"/>
          <w:szCs w:val="22"/>
        </w:rPr>
        <w:t xml:space="preserve">nesprávná </w:t>
      </w:r>
      <w:r w:rsidR="007F15A5">
        <w:rPr>
          <w:rFonts w:ascii="Arial" w:hAnsi="Arial" w:cs="Arial"/>
          <w:sz w:val="22"/>
          <w:szCs w:val="22"/>
        </w:rPr>
        <w:t>teze</w:t>
      </w:r>
      <w:r w:rsidR="007403AF">
        <w:rPr>
          <w:rFonts w:ascii="Arial" w:hAnsi="Arial" w:cs="Arial"/>
          <w:sz w:val="22"/>
          <w:szCs w:val="22"/>
        </w:rPr>
        <w:t xml:space="preserve"> ČTÚ</w:t>
      </w:r>
      <w:r w:rsidR="007F15A5">
        <w:rPr>
          <w:rFonts w:ascii="Arial" w:hAnsi="Arial" w:cs="Arial"/>
          <w:sz w:val="22"/>
          <w:szCs w:val="22"/>
        </w:rPr>
        <w:t xml:space="preserve"> už</w:t>
      </w:r>
      <w:r w:rsidR="00F14BB7">
        <w:rPr>
          <w:rFonts w:ascii="Arial" w:hAnsi="Arial" w:cs="Arial"/>
          <w:sz w:val="22"/>
          <w:szCs w:val="22"/>
        </w:rPr>
        <w:t xml:space="preserve"> jen</w:t>
      </w:r>
      <w:r w:rsidR="007F15A5">
        <w:rPr>
          <w:rFonts w:ascii="Arial" w:hAnsi="Arial" w:cs="Arial"/>
          <w:sz w:val="22"/>
          <w:szCs w:val="22"/>
        </w:rPr>
        <w:t xml:space="preserve"> z pohledu časové souslednosti, kdy k přirozenému vstupu MVNO (první subjekt MVNO začal působit n</w:t>
      </w:r>
      <w:r w:rsidR="008E58B0">
        <w:rPr>
          <w:rFonts w:ascii="Arial" w:hAnsi="Arial" w:cs="Arial"/>
          <w:sz w:val="22"/>
          <w:szCs w:val="22"/>
        </w:rPr>
        <w:t xml:space="preserve">a mobilní síti společnosti O2) </w:t>
      </w:r>
      <w:r w:rsidR="007F15A5">
        <w:rPr>
          <w:rFonts w:ascii="Arial" w:hAnsi="Arial" w:cs="Arial"/>
          <w:sz w:val="22"/>
          <w:szCs w:val="22"/>
        </w:rPr>
        <w:t xml:space="preserve">došlo mnohem dříve, než se ČTÚ </w:t>
      </w:r>
      <w:r w:rsidR="00D159DD">
        <w:rPr>
          <w:rFonts w:ascii="Arial" w:hAnsi="Arial" w:cs="Arial"/>
          <w:sz w:val="22"/>
          <w:szCs w:val="22"/>
        </w:rPr>
        <w:t xml:space="preserve">ve své snaze </w:t>
      </w:r>
      <w:r w:rsidR="007F15A5">
        <w:rPr>
          <w:rFonts w:ascii="Arial" w:hAnsi="Arial" w:cs="Arial"/>
          <w:sz w:val="22"/>
          <w:szCs w:val="22"/>
        </w:rPr>
        <w:t xml:space="preserve">vůbec </w:t>
      </w:r>
      <w:r w:rsidR="00D159DD">
        <w:rPr>
          <w:rFonts w:ascii="Arial" w:hAnsi="Arial" w:cs="Arial"/>
          <w:sz w:val="22"/>
          <w:szCs w:val="22"/>
        </w:rPr>
        <w:t>jakkoliv při</w:t>
      </w:r>
      <w:r w:rsidR="007F15A5">
        <w:rPr>
          <w:rFonts w:ascii="Arial" w:hAnsi="Arial" w:cs="Arial"/>
          <w:sz w:val="22"/>
          <w:szCs w:val="22"/>
        </w:rPr>
        <w:t>blížil k </w:t>
      </w:r>
      <w:r w:rsidR="00D159DD">
        <w:rPr>
          <w:rFonts w:ascii="Arial" w:hAnsi="Arial" w:cs="Arial"/>
          <w:sz w:val="22"/>
          <w:szCs w:val="22"/>
        </w:rPr>
        <w:t>uložení</w:t>
      </w:r>
      <w:r w:rsidR="007F15A5">
        <w:rPr>
          <w:rFonts w:ascii="Arial" w:hAnsi="Arial" w:cs="Arial"/>
          <w:sz w:val="22"/>
          <w:szCs w:val="22"/>
        </w:rPr>
        <w:t xml:space="preserve"> konkrétních regulačních opatření. Kdyby </w:t>
      </w:r>
      <w:r w:rsidR="00D159DD">
        <w:rPr>
          <w:rFonts w:ascii="Arial" w:hAnsi="Arial" w:cs="Arial"/>
          <w:sz w:val="22"/>
          <w:szCs w:val="22"/>
        </w:rPr>
        <w:t xml:space="preserve">výše popsaná </w:t>
      </w:r>
      <w:r w:rsidR="007F15A5">
        <w:rPr>
          <w:rFonts w:ascii="Arial" w:hAnsi="Arial" w:cs="Arial"/>
          <w:sz w:val="22"/>
          <w:szCs w:val="22"/>
        </w:rPr>
        <w:t xml:space="preserve">teze ČTÚ </w:t>
      </w:r>
      <w:r w:rsidR="00D159DD">
        <w:rPr>
          <w:rFonts w:ascii="Arial" w:hAnsi="Arial" w:cs="Arial"/>
          <w:sz w:val="22"/>
          <w:szCs w:val="22"/>
        </w:rPr>
        <w:t xml:space="preserve">skutečně </w:t>
      </w:r>
      <w:r w:rsidR="007F15A5">
        <w:rPr>
          <w:rFonts w:ascii="Arial" w:hAnsi="Arial" w:cs="Arial"/>
          <w:sz w:val="22"/>
          <w:szCs w:val="22"/>
        </w:rPr>
        <w:t xml:space="preserve">platila, tak by mobilní operátoři museli logicky zdržovat </w:t>
      </w:r>
      <w:r w:rsidR="007D27B7">
        <w:rPr>
          <w:rFonts w:ascii="Arial" w:hAnsi="Arial" w:cs="Arial"/>
          <w:sz w:val="22"/>
          <w:szCs w:val="22"/>
        </w:rPr>
        <w:t xml:space="preserve">komerční </w:t>
      </w:r>
      <w:r w:rsidR="007F15A5">
        <w:rPr>
          <w:rFonts w:ascii="Arial" w:hAnsi="Arial" w:cs="Arial"/>
          <w:sz w:val="22"/>
          <w:szCs w:val="22"/>
        </w:rPr>
        <w:t>vstup</w:t>
      </w:r>
      <w:r w:rsidR="007D27B7">
        <w:rPr>
          <w:rFonts w:ascii="Arial" w:hAnsi="Arial" w:cs="Arial"/>
          <w:sz w:val="22"/>
          <w:szCs w:val="22"/>
        </w:rPr>
        <w:t xml:space="preserve"> subjektů MVNO mnohem déle. Ve skutečnosti subjekty MVNO začaly vstupovat na trh na základě jeho přirozeného vývoje, kdy na straně mobilních operátorů i subjektů MVNO začala vzájemná spolupráce oboustranně dávat smysl a za tím účelem byly poté uzavírány příslušné velkoobchodní smlouvy. </w:t>
      </w:r>
    </w:p>
    <w:p w14:paraId="0A19C898" w14:textId="77777777" w:rsidR="00D159DD" w:rsidRDefault="00D159DD" w:rsidP="00212DEE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0B60081" w14:textId="39B1A3C4" w:rsidR="00212DEE" w:rsidRDefault="007D27B7" w:rsidP="00212DEE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ČTÚ je z jeho úřední činnosti velmi dobře známo, že společnost O2 má </w:t>
      </w:r>
      <w:r w:rsidR="009F78F4">
        <w:rPr>
          <w:rFonts w:ascii="Arial" w:hAnsi="Arial" w:cs="Arial"/>
          <w:sz w:val="22"/>
          <w:szCs w:val="22"/>
        </w:rPr>
        <w:t xml:space="preserve">dojednány </w:t>
      </w:r>
      <w:r>
        <w:rPr>
          <w:rFonts w:ascii="Arial" w:hAnsi="Arial" w:cs="Arial"/>
          <w:sz w:val="22"/>
          <w:szCs w:val="22"/>
        </w:rPr>
        <w:t>veškeré velkoobchodní smlouvy se svými partnery typu MVNO na komerčním základě</w:t>
      </w:r>
      <w:r w:rsidR="00D159D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za celou dobu nedošlo k jedinému vzájemnému sporu, jenž by vyžadoval </w:t>
      </w:r>
      <w:r w:rsidR="00552F3F">
        <w:rPr>
          <w:rFonts w:ascii="Arial" w:hAnsi="Arial" w:cs="Arial"/>
          <w:sz w:val="22"/>
          <w:szCs w:val="22"/>
        </w:rPr>
        <w:t xml:space="preserve">zásah anebo intervenci ze strany ČTÚ, o což může kdykoliv kterákoliv ze smluvních stran požádat v případě potřeby ČTÚ. Z výše uvedených </w:t>
      </w:r>
      <w:r w:rsidR="008E58B0">
        <w:rPr>
          <w:rFonts w:ascii="Arial" w:hAnsi="Arial" w:cs="Arial"/>
          <w:sz w:val="22"/>
          <w:szCs w:val="22"/>
        </w:rPr>
        <w:t xml:space="preserve">důvodů nedává smysl, aby se </w:t>
      </w:r>
      <w:r w:rsidR="00F4511F">
        <w:rPr>
          <w:rFonts w:ascii="Arial" w:hAnsi="Arial" w:cs="Arial"/>
          <w:sz w:val="22"/>
          <w:szCs w:val="22"/>
        </w:rPr>
        <w:t xml:space="preserve">ČTÚ </w:t>
      </w:r>
      <w:r w:rsidR="008E58B0">
        <w:rPr>
          <w:rFonts w:ascii="Arial" w:hAnsi="Arial" w:cs="Arial"/>
          <w:sz w:val="22"/>
          <w:szCs w:val="22"/>
        </w:rPr>
        <w:t>opět pokoušel</w:t>
      </w:r>
      <w:r w:rsidR="00582DF3">
        <w:rPr>
          <w:rFonts w:ascii="Arial" w:hAnsi="Arial" w:cs="Arial"/>
          <w:sz w:val="22"/>
          <w:szCs w:val="22"/>
        </w:rPr>
        <w:t xml:space="preserve"> zavádět v rámci Evropské unie exemplární příklady neúspěšných snah o ex ante regulaci fungujícího trhu.</w:t>
      </w:r>
    </w:p>
    <w:p w14:paraId="3B05D092" w14:textId="77777777" w:rsidR="00582DF3" w:rsidRDefault="00582DF3" w:rsidP="00212DEE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64DABC0" w14:textId="3D8ABEB8" w:rsidR="00D159DD" w:rsidRDefault="008E58B0" w:rsidP="00582DF3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72892" w:rsidRPr="00582DF3">
        <w:rPr>
          <w:rFonts w:ascii="Arial" w:hAnsi="Arial" w:cs="Arial"/>
          <w:sz w:val="22"/>
          <w:szCs w:val="22"/>
        </w:rPr>
        <w:t xml:space="preserve">polečnost O2 </w:t>
      </w:r>
      <w:r w:rsidR="00E11361">
        <w:rPr>
          <w:rFonts w:ascii="Arial" w:hAnsi="Arial" w:cs="Arial"/>
          <w:sz w:val="22"/>
          <w:szCs w:val="22"/>
        </w:rPr>
        <w:t xml:space="preserve">respektuje </w:t>
      </w:r>
      <w:r w:rsidR="00286B01">
        <w:rPr>
          <w:rFonts w:ascii="Arial" w:hAnsi="Arial" w:cs="Arial"/>
          <w:sz w:val="22"/>
          <w:szCs w:val="22"/>
        </w:rPr>
        <w:t xml:space="preserve">vydání </w:t>
      </w:r>
      <w:r w:rsidR="00E11361">
        <w:rPr>
          <w:rFonts w:ascii="Arial" w:hAnsi="Arial" w:cs="Arial"/>
          <w:sz w:val="22"/>
          <w:szCs w:val="22"/>
        </w:rPr>
        <w:t>novelizované</w:t>
      </w:r>
      <w:r w:rsidR="00286B01">
        <w:rPr>
          <w:rFonts w:ascii="Arial" w:hAnsi="Arial" w:cs="Arial"/>
          <w:sz w:val="22"/>
          <w:szCs w:val="22"/>
        </w:rPr>
        <w:t>ho</w:t>
      </w:r>
      <w:r w:rsidR="00E11361">
        <w:rPr>
          <w:rFonts w:ascii="Arial" w:hAnsi="Arial" w:cs="Arial"/>
          <w:sz w:val="22"/>
          <w:szCs w:val="22"/>
        </w:rPr>
        <w:t xml:space="preserve"> </w:t>
      </w:r>
      <w:r w:rsidR="00E11361" w:rsidRPr="007036C4">
        <w:rPr>
          <w:rFonts w:ascii="Arial" w:hAnsi="Arial" w:cs="Arial"/>
          <w:sz w:val="22"/>
          <w:szCs w:val="22"/>
        </w:rPr>
        <w:t>Nařízení č. 531/2012</w:t>
      </w:r>
      <w:r w:rsidR="00E11361">
        <w:rPr>
          <w:rFonts w:ascii="Arial" w:hAnsi="Arial" w:cs="Arial"/>
          <w:sz w:val="22"/>
          <w:szCs w:val="22"/>
        </w:rPr>
        <w:t xml:space="preserve"> </w:t>
      </w:r>
      <w:r w:rsidR="00286B01">
        <w:rPr>
          <w:rFonts w:ascii="Arial" w:hAnsi="Arial" w:cs="Arial"/>
          <w:sz w:val="22"/>
          <w:szCs w:val="22"/>
        </w:rPr>
        <w:t>autoritou</w:t>
      </w:r>
      <w:r w:rsidR="00E11361">
        <w:rPr>
          <w:rFonts w:ascii="Arial" w:hAnsi="Arial" w:cs="Arial"/>
          <w:sz w:val="22"/>
          <w:szCs w:val="22"/>
        </w:rPr>
        <w:t xml:space="preserve"> Evropské komise a v této souvislosti </w:t>
      </w:r>
      <w:r w:rsidR="00172892" w:rsidRPr="00582DF3">
        <w:rPr>
          <w:rFonts w:ascii="Arial" w:hAnsi="Arial" w:cs="Arial"/>
          <w:b/>
          <w:sz w:val="22"/>
          <w:szCs w:val="22"/>
          <w:u w:val="single"/>
        </w:rPr>
        <w:t>plně podporuje</w:t>
      </w:r>
      <w:r w:rsidR="00172892" w:rsidRPr="00582DF3">
        <w:rPr>
          <w:rFonts w:ascii="Arial" w:hAnsi="Arial" w:cs="Arial"/>
          <w:sz w:val="22"/>
          <w:szCs w:val="22"/>
        </w:rPr>
        <w:t xml:space="preserve"> názor Č</w:t>
      </w:r>
      <w:r w:rsidR="00186E85">
        <w:rPr>
          <w:rFonts w:ascii="Arial" w:hAnsi="Arial" w:cs="Arial"/>
          <w:sz w:val="22"/>
          <w:szCs w:val="22"/>
        </w:rPr>
        <w:t>TÚ</w:t>
      </w:r>
      <w:r w:rsidR="00582DF3" w:rsidRPr="00582DF3">
        <w:rPr>
          <w:rFonts w:ascii="Arial" w:hAnsi="Arial" w:cs="Arial"/>
          <w:sz w:val="22"/>
          <w:szCs w:val="22"/>
        </w:rPr>
        <w:t>, že roamingová regulace</w:t>
      </w:r>
      <w:r>
        <w:rPr>
          <w:rFonts w:ascii="Arial" w:hAnsi="Arial" w:cs="Arial"/>
          <w:sz w:val="22"/>
          <w:szCs w:val="22"/>
        </w:rPr>
        <w:t xml:space="preserve"> ve svém důsledku</w:t>
      </w:r>
      <w:r w:rsidR="00582DF3" w:rsidRPr="00582DF3">
        <w:rPr>
          <w:rFonts w:ascii="Arial" w:hAnsi="Arial" w:cs="Arial"/>
          <w:sz w:val="22"/>
          <w:szCs w:val="22"/>
        </w:rPr>
        <w:t xml:space="preserve"> „</w:t>
      </w:r>
      <w:r w:rsidR="00582DF3" w:rsidRPr="00582DF3">
        <w:rPr>
          <w:rFonts w:ascii="Arial" w:hAnsi="Arial" w:cs="Arial"/>
          <w:i/>
          <w:sz w:val="22"/>
          <w:szCs w:val="22"/>
        </w:rPr>
        <w:t>může mít negativní dopad na hospodaření operátorů nebo může vést ke zvýšení vnitrostátních cen.“</w:t>
      </w:r>
      <w:r w:rsidR="00582DF3">
        <w:rPr>
          <w:rFonts w:ascii="Arial" w:hAnsi="Arial" w:cs="Arial"/>
          <w:sz w:val="22"/>
          <w:szCs w:val="22"/>
        </w:rPr>
        <w:t xml:space="preserve"> </w:t>
      </w:r>
      <w:r w:rsidR="00E11361">
        <w:rPr>
          <w:rFonts w:ascii="Arial" w:hAnsi="Arial" w:cs="Arial"/>
          <w:sz w:val="22"/>
          <w:szCs w:val="22"/>
        </w:rPr>
        <w:t xml:space="preserve">V kontextu návrhu provedení </w:t>
      </w:r>
      <w:proofErr w:type="spellStart"/>
      <w:r w:rsidR="00E11361">
        <w:rPr>
          <w:rFonts w:ascii="Arial" w:hAnsi="Arial" w:cs="Arial"/>
          <w:sz w:val="22"/>
          <w:szCs w:val="22"/>
        </w:rPr>
        <w:t>tříkriteriálního</w:t>
      </w:r>
      <w:proofErr w:type="spellEnd"/>
      <w:r w:rsidR="00E11361">
        <w:rPr>
          <w:rFonts w:ascii="Arial" w:hAnsi="Arial" w:cs="Arial"/>
          <w:sz w:val="22"/>
          <w:szCs w:val="22"/>
        </w:rPr>
        <w:t xml:space="preserve"> testu ze strany ČTÚ to však nemůže znamenat, že případné negativní důsledky </w:t>
      </w:r>
      <w:r w:rsidR="00D159DD">
        <w:rPr>
          <w:rFonts w:ascii="Arial" w:hAnsi="Arial" w:cs="Arial"/>
          <w:sz w:val="22"/>
          <w:szCs w:val="22"/>
        </w:rPr>
        <w:t xml:space="preserve">pro trh a zákazníky způsobené </w:t>
      </w:r>
      <w:r w:rsidR="00E11361">
        <w:rPr>
          <w:rFonts w:ascii="Arial" w:hAnsi="Arial" w:cs="Arial"/>
          <w:sz w:val="22"/>
          <w:szCs w:val="22"/>
        </w:rPr>
        <w:t>jedn</w:t>
      </w:r>
      <w:r w:rsidR="00D159DD">
        <w:rPr>
          <w:rFonts w:ascii="Arial" w:hAnsi="Arial" w:cs="Arial"/>
          <w:sz w:val="22"/>
          <w:szCs w:val="22"/>
        </w:rPr>
        <w:t>ím typem</w:t>
      </w:r>
      <w:r w:rsidR="00E11361">
        <w:rPr>
          <w:rFonts w:ascii="Arial" w:hAnsi="Arial" w:cs="Arial"/>
          <w:sz w:val="22"/>
          <w:szCs w:val="22"/>
        </w:rPr>
        <w:t xml:space="preserve"> regulace (v tomto případě roamingu) </w:t>
      </w:r>
      <w:r w:rsidR="00286B01">
        <w:rPr>
          <w:rFonts w:ascii="Arial" w:hAnsi="Arial" w:cs="Arial"/>
          <w:sz w:val="22"/>
          <w:szCs w:val="22"/>
        </w:rPr>
        <w:t xml:space="preserve">by </w:t>
      </w:r>
      <w:r w:rsidR="00D159DD">
        <w:rPr>
          <w:rFonts w:ascii="Arial" w:hAnsi="Arial" w:cs="Arial"/>
          <w:sz w:val="22"/>
          <w:szCs w:val="22"/>
        </w:rPr>
        <w:t xml:space="preserve">mohly </w:t>
      </w:r>
      <w:r w:rsidR="00286B01">
        <w:rPr>
          <w:rFonts w:ascii="Arial" w:hAnsi="Arial" w:cs="Arial"/>
          <w:sz w:val="22"/>
          <w:szCs w:val="22"/>
        </w:rPr>
        <w:t xml:space="preserve">být </w:t>
      </w:r>
      <w:r w:rsidR="00E11361">
        <w:rPr>
          <w:rFonts w:ascii="Arial" w:hAnsi="Arial" w:cs="Arial"/>
          <w:sz w:val="22"/>
          <w:szCs w:val="22"/>
        </w:rPr>
        <w:t>jedním z důvodů, proč zavádět další regulaci s odůvodněním, že ceny jsou příliš vysoké</w:t>
      </w:r>
      <w:r w:rsidR="00E11361" w:rsidRPr="00E11361">
        <w:rPr>
          <w:rFonts w:ascii="Arial" w:hAnsi="Arial" w:cs="Arial"/>
          <w:sz w:val="22"/>
          <w:szCs w:val="22"/>
        </w:rPr>
        <w:t xml:space="preserve"> </w:t>
      </w:r>
      <w:r w:rsidR="00E11361">
        <w:rPr>
          <w:rFonts w:ascii="Arial" w:hAnsi="Arial" w:cs="Arial"/>
          <w:sz w:val="22"/>
          <w:szCs w:val="22"/>
        </w:rPr>
        <w:t xml:space="preserve">a trh nefunguje. </w:t>
      </w:r>
      <w:r w:rsidR="00D159DD">
        <w:rPr>
          <w:rFonts w:ascii="Arial" w:hAnsi="Arial" w:cs="Arial"/>
          <w:sz w:val="22"/>
          <w:szCs w:val="22"/>
        </w:rPr>
        <w:t>Veškeré z</w:t>
      </w:r>
      <w:r w:rsidR="00E11361">
        <w:rPr>
          <w:rFonts w:ascii="Arial" w:hAnsi="Arial" w:cs="Arial"/>
          <w:sz w:val="22"/>
          <w:szCs w:val="22"/>
        </w:rPr>
        <w:t>ákladní ekonomické poučky varují</w:t>
      </w:r>
      <w:r w:rsidR="00286B01">
        <w:rPr>
          <w:rFonts w:ascii="Arial" w:hAnsi="Arial" w:cs="Arial"/>
          <w:sz w:val="22"/>
          <w:szCs w:val="22"/>
        </w:rPr>
        <w:t xml:space="preserve"> před přeregulováním trhu a </w:t>
      </w:r>
      <w:r w:rsidR="00E11361">
        <w:rPr>
          <w:rFonts w:ascii="Arial" w:hAnsi="Arial" w:cs="Arial"/>
          <w:sz w:val="22"/>
          <w:szCs w:val="22"/>
        </w:rPr>
        <w:t>je</w:t>
      </w:r>
      <w:r w:rsidR="00286B01">
        <w:rPr>
          <w:rFonts w:ascii="Arial" w:hAnsi="Arial" w:cs="Arial"/>
          <w:sz w:val="22"/>
          <w:szCs w:val="22"/>
        </w:rPr>
        <w:t>ho</w:t>
      </w:r>
      <w:r w:rsidR="00E11361">
        <w:rPr>
          <w:rFonts w:ascii="Arial" w:hAnsi="Arial" w:cs="Arial"/>
          <w:sz w:val="22"/>
          <w:szCs w:val="22"/>
        </w:rPr>
        <w:t xml:space="preserve"> svázán</w:t>
      </w:r>
      <w:r w:rsidR="00286B01">
        <w:rPr>
          <w:rFonts w:ascii="Arial" w:hAnsi="Arial" w:cs="Arial"/>
          <w:sz w:val="22"/>
          <w:szCs w:val="22"/>
        </w:rPr>
        <w:t>ím</w:t>
      </w:r>
      <w:r w:rsidR="00E11361">
        <w:rPr>
          <w:rFonts w:ascii="Arial" w:hAnsi="Arial" w:cs="Arial"/>
          <w:sz w:val="22"/>
          <w:szCs w:val="22"/>
        </w:rPr>
        <w:t xml:space="preserve"> mnoha regulačními pravidly nadiktovanými státní mocí</w:t>
      </w:r>
      <w:r w:rsidR="00286B01">
        <w:rPr>
          <w:rFonts w:ascii="Arial" w:hAnsi="Arial" w:cs="Arial"/>
          <w:sz w:val="22"/>
          <w:szCs w:val="22"/>
        </w:rPr>
        <w:t xml:space="preserve">, </w:t>
      </w:r>
      <w:r w:rsidR="00F14BB7">
        <w:rPr>
          <w:rFonts w:ascii="Arial" w:hAnsi="Arial" w:cs="Arial"/>
          <w:sz w:val="22"/>
          <w:szCs w:val="22"/>
        </w:rPr>
        <w:t xml:space="preserve">protože </w:t>
      </w:r>
      <w:r w:rsidR="00286B01">
        <w:rPr>
          <w:rFonts w:ascii="Arial" w:hAnsi="Arial" w:cs="Arial"/>
          <w:sz w:val="22"/>
          <w:szCs w:val="22"/>
        </w:rPr>
        <w:t xml:space="preserve">pak chybí potřebný </w:t>
      </w:r>
      <w:r w:rsidR="00E11361">
        <w:rPr>
          <w:rFonts w:ascii="Arial" w:hAnsi="Arial" w:cs="Arial"/>
          <w:sz w:val="22"/>
          <w:szCs w:val="22"/>
        </w:rPr>
        <w:t>prostor pro rozvoj zdravého konkurenčního prostředí</w:t>
      </w:r>
      <w:r w:rsidR="00D159DD">
        <w:rPr>
          <w:rFonts w:ascii="Arial" w:hAnsi="Arial" w:cs="Arial"/>
          <w:sz w:val="22"/>
          <w:szCs w:val="22"/>
        </w:rPr>
        <w:t xml:space="preserve"> na základě působení přirozených tržních sil nabídky a poptávky</w:t>
      </w:r>
      <w:r w:rsidR="00E11361">
        <w:rPr>
          <w:rFonts w:ascii="Arial" w:hAnsi="Arial" w:cs="Arial"/>
          <w:sz w:val="22"/>
          <w:szCs w:val="22"/>
        </w:rPr>
        <w:t xml:space="preserve">. </w:t>
      </w:r>
    </w:p>
    <w:p w14:paraId="028E21D7" w14:textId="77777777" w:rsidR="00D27890" w:rsidRDefault="00D27890" w:rsidP="00582DF3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40EA575" w14:textId="4C764828" w:rsidR="00172892" w:rsidRPr="00BB2890" w:rsidRDefault="00286B01" w:rsidP="00582DF3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strany ČTÚ by mělo být respektováno </w:t>
      </w:r>
      <w:r w:rsidR="007036C4">
        <w:rPr>
          <w:rFonts w:ascii="Arial" w:hAnsi="Arial" w:cs="Arial"/>
          <w:sz w:val="22"/>
          <w:szCs w:val="22"/>
        </w:rPr>
        <w:t xml:space="preserve">Doporučení Evropské komise, které identifikuje 4 respektive 5 relevantních trhů a k zařazení dalšího relevantního trhu po provedení testu tří kritérií by mělo být přistupováno pouze </w:t>
      </w:r>
      <w:r>
        <w:rPr>
          <w:rFonts w:ascii="Arial" w:hAnsi="Arial" w:cs="Arial"/>
          <w:sz w:val="22"/>
          <w:szCs w:val="22"/>
        </w:rPr>
        <w:t xml:space="preserve">zcela výjimečně a jen </w:t>
      </w:r>
      <w:r w:rsidR="007036C4">
        <w:rPr>
          <w:rFonts w:ascii="Arial" w:hAnsi="Arial" w:cs="Arial"/>
          <w:sz w:val="22"/>
          <w:szCs w:val="22"/>
        </w:rPr>
        <w:t xml:space="preserve">v případě nefungování účinné konkurence. </w:t>
      </w:r>
      <w:r w:rsidR="0030272A" w:rsidRPr="00BB2890">
        <w:rPr>
          <w:rFonts w:ascii="Arial" w:hAnsi="Arial" w:cs="Arial"/>
          <w:b/>
          <w:sz w:val="22"/>
          <w:szCs w:val="22"/>
        </w:rPr>
        <w:t>Jak je uvedeno</w:t>
      </w:r>
      <w:r>
        <w:rPr>
          <w:rFonts w:ascii="Arial" w:hAnsi="Arial" w:cs="Arial"/>
          <w:b/>
          <w:sz w:val="22"/>
          <w:szCs w:val="22"/>
        </w:rPr>
        <w:t xml:space="preserve"> výše i </w:t>
      </w:r>
      <w:r w:rsidR="0030272A" w:rsidRPr="00BB2890">
        <w:rPr>
          <w:rFonts w:ascii="Arial" w:hAnsi="Arial" w:cs="Arial"/>
          <w:b/>
          <w:sz w:val="22"/>
          <w:szCs w:val="22"/>
        </w:rPr>
        <w:t>v následujících připomínkách</w:t>
      </w:r>
      <w:r w:rsidR="00082320" w:rsidRPr="00BB2890">
        <w:rPr>
          <w:rFonts w:ascii="Arial" w:hAnsi="Arial" w:cs="Arial"/>
          <w:b/>
          <w:sz w:val="22"/>
          <w:szCs w:val="22"/>
        </w:rPr>
        <w:t>,</w:t>
      </w:r>
      <w:r w:rsidR="0030272A" w:rsidRPr="00BB2890">
        <w:rPr>
          <w:rFonts w:ascii="Arial" w:hAnsi="Arial" w:cs="Arial"/>
          <w:b/>
          <w:sz w:val="22"/>
          <w:szCs w:val="22"/>
        </w:rPr>
        <w:t xml:space="preserve"> k účinné konkurenci na identifikovaném trhu jednoznačně dochází</w:t>
      </w:r>
      <w:r w:rsidR="00186E85">
        <w:rPr>
          <w:rFonts w:ascii="Arial" w:hAnsi="Arial" w:cs="Arial"/>
          <w:b/>
          <w:sz w:val="22"/>
          <w:szCs w:val="22"/>
        </w:rPr>
        <w:t>,</w:t>
      </w:r>
      <w:r w:rsidR="0030272A" w:rsidRPr="00BB2890">
        <w:rPr>
          <w:rFonts w:ascii="Arial" w:hAnsi="Arial" w:cs="Arial"/>
          <w:b/>
          <w:sz w:val="22"/>
          <w:szCs w:val="22"/>
        </w:rPr>
        <w:t xml:space="preserve"> a</w:t>
      </w:r>
      <w:r w:rsidR="00186E85">
        <w:rPr>
          <w:rFonts w:ascii="Arial" w:hAnsi="Arial" w:cs="Arial"/>
          <w:b/>
          <w:sz w:val="22"/>
          <w:szCs w:val="22"/>
        </w:rPr>
        <w:t xml:space="preserve"> proto</w:t>
      </w:r>
      <w:r w:rsidR="0030272A" w:rsidRPr="00BB2890">
        <w:rPr>
          <w:rFonts w:ascii="Arial" w:hAnsi="Arial" w:cs="Arial"/>
          <w:b/>
          <w:sz w:val="22"/>
          <w:szCs w:val="22"/>
        </w:rPr>
        <w:t xml:space="preserve"> k</w:t>
      </w:r>
      <w:r w:rsidR="00082320" w:rsidRPr="00BB2890">
        <w:rPr>
          <w:rFonts w:ascii="Arial" w:hAnsi="Arial" w:cs="Arial"/>
          <w:b/>
          <w:sz w:val="22"/>
          <w:szCs w:val="22"/>
        </w:rPr>
        <w:t> celé</w:t>
      </w:r>
      <w:r w:rsidR="00186E85">
        <w:rPr>
          <w:rFonts w:ascii="Arial" w:hAnsi="Arial" w:cs="Arial"/>
          <w:b/>
          <w:sz w:val="22"/>
          <w:szCs w:val="22"/>
        </w:rPr>
        <w:t xml:space="preserve"> této aktivitě</w:t>
      </w:r>
      <w:r w:rsidR="0030272A" w:rsidRPr="00BB2890">
        <w:rPr>
          <w:rFonts w:ascii="Arial" w:hAnsi="Arial" w:cs="Arial"/>
          <w:b/>
          <w:sz w:val="22"/>
          <w:szCs w:val="22"/>
        </w:rPr>
        <w:t>, kter</w:t>
      </w:r>
      <w:r w:rsidR="00186E85">
        <w:rPr>
          <w:rFonts w:ascii="Arial" w:hAnsi="Arial" w:cs="Arial"/>
          <w:b/>
          <w:sz w:val="22"/>
          <w:szCs w:val="22"/>
        </w:rPr>
        <w:t>á</w:t>
      </w:r>
      <w:r w:rsidR="0030272A" w:rsidRPr="00BB2890">
        <w:rPr>
          <w:rFonts w:ascii="Arial" w:hAnsi="Arial" w:cs="Arial"/>
          <w:b/>
          <w:sz w:val="22"/>
          <w:szCs w:val="22"/>
        </w:rPr>
        <w:t xml:space="preserve"> vyžaduje </w:t>
      </w:r>
      <w:r w:rsidR="00BB2890" w:rsidRPr="00BB2890">
        <w:rPr>
          <w:rFonts w:ascii="Arial" w:hAnsi="Arial" w:cs="Arial"/>
          <w:b/>
          <w:sz w:val="22"/>
          <w:szCs w:val="22"/>
        </w:rPr>
        <w:t>značné pracovní</w:t>
      </w:r>
      <w:r w:rsidR="0030272A" w:rsidRPr="00BB2890">
        <w:rPr>
          <w:rFonts w:ascii="Arial" w:hAnsi="Arial" w:cs="Arial"/>
          <w:b/>
          <w:sz w:val="22"/>
          <w:szCs w:val="22"/>
        </w:rPr>
        <w:t xml:space="preserve"> kapacity jak na straně</w:t>
      </w:r>
      <w:r w:rsidR="00186E85">
        <w:rPr>
          <w:rFonts w:ascii="Arial" w:hAnsi="Arial" w:cs="Arial"/>
          <w:b/>
          <w:sz w:val="22"/>
          <w:szCs w:val="22"/>
        </w:rPr>
        <w:t xml:space="preserve"> ČTÚ</w:t>
      </w:r>
      <w:r w:rsidR="0030272A" w:rsidRPr="00BB2890">
        <w:rPr>
          <w:rFonts w:ascii="Arial" w:hAnsi="Arial" w:cs="Arial"/>
          <w:b/>
          <w:sz w:val="22"/>
          <w:szCs w:val="22"/>
        </w:rPr>
        <w:t xml:space="preserve">, tak na straně </w:t>
      </w:r>
      <w:r w:rsidR="00186E85">
        <w:rPr>
          <w:rFonts w:ascii="Arial" w:hAnsi="Arial" w:cs="Arial"/>
          <w:b/>
          <w:sz w:val="22"/>
          <w:szCs w:val="22"/>
        </w:rPr>
        <w:t xml:space="preserve">podnikatelského </w:t>
      </w:r>
      <w:r w:rsidR="0030272A" w:rsidRPr="00BB2890">
        <w:rPr>
          <w:rFonts w:ascii="Arial" w:hAnsi="Arial" w:cs="Arial"/>
          <w:b/>
          <w:sz w:val="22"/>
          <w:szCs w:val="22"/>
        </w:rPr>
        <w:t>sektoru</w:t>
      </w:r>
      <w:r w:rsidR="00186E85">
        <w:rPr>
          <w:rFonts w:ascii="Arial" w:hAnsi="Arial" w:cs="Arial"/>
          <w:b/>
          <w:sz w:val="22"/>
          <w:szCs w:val="22"/>
        </w:rPr>
        <w:t xml:space="preserve"> (od sběru požadovaných statistických údajů až po sdělování odborných připomínek) a dalších subjektů</w:t>
      </w:r>
      <w:r w:rsidR="0030272A" w:rsidRPr="00BB2890">
        <w:rPr>
          <w:rFonts w:ascii="Arial" w:hAnsi="Arial" w:cs="Arial"/>
          <w:b/>
          <w:sz w:val="22"/>
          <w:szCs w:val="22"/>
        </w:rPr>
        <w:t xml:space="preserve">, </w:t>
      </w:r>
      <w:r w:rsidR="00082320" w:rsidRPr="00BB2890">
        <w:rPr>
          <w:rFonts w:ascii="Arial" w:hAnsi="Arial" w:cs="Arial"/>
          <w:b/>
          <w:sz w:val="22"/>
          <w:szCs w:val="22"/>
        </w:rPr>
        <w:t>není</w:t>
      </w:r>
      <w:r w:rsidR="005F472B" w:rsidRPr="00BB2890">
        <w:rPr>
          <w:rFonts w:ascii="Arial" w:hAnsi="Arial" w:cs="Arial"/>
          <w:b/>
          <w:sz w:val="22"/>
          <w:szCs w:val="22"/>
        </w:rPr>
        <w:t>,</w:t>
      </w:r>
      <w:r w:rsidR="00082320" w:rsidRPr="00BB2890">
        <w:rPr>
          <w:rFonts w:ascii="Arial" w:hAnsi="Arial" w:cs="Arial"/>
          <w:b/>
          <w:sz w:val="22"/>
          <w:szCs w:val="22"/>
        </w:rPr>
        <w:t xml:space="preserve"> </w:t>
      </w:r>
      <w:r w:rsidR="005F472B" w:rsidRPr="00BB2890">
        <w:rPr>
          <w:rFonts w:ascii="Arial" w:hAnsi="Arial" w:cs="Arial"/>
          <w:b/>
          <w:sz w:val="22"/>
          <w:szCs w:val="22"/>
        </w:rPr>
        <w:t xml:space="preserve">navzdory účelovému jednání některých zájmových skupin a jejich vystupování v médiích, </w:t>
      </w:r>
      <w:r w:rsidR="00186E85">
        <w:rPr>
          <w:rFonts w:ascii="Arial" w:hAnsi="Arial" w:cs="Arial"/>
          <w:b/>
          <w:sz w:val="22"/>
          <w:szCs w:val="22"/>
        </w:rPr>
        <w:t xml:space="preserve">žádný </w:t>
      </w:r>
      <w:r w:rsidR="00082320" w:rsidRPr="00BB2890">
        <w:rPr>
          <w:rFonts w:ascii="Arial" w:hAnsi="Arial" w:cs="Arial"/>
          <w:b/>
          <w:sz w:val="22"/>
          <w:szCs w:val="22"/>
        </w:rPr>
        <w:t>důvod.</w:t>
      </w:r>
    </w:p>
    <w:p w14:paraId="45E102BA" w14:textId="17A0193B" w:rsidR="00952E1E" w:rsidRDefault="006E5666" w:rsidP="0083047F">
      <w:pPr>
        <w:tabs>
          <w:tab w:val="left" w:pos="960"/>
        </w:tabs>
      </w:pPr>
      <w:r>
        <w:tab/>
      </w:r>
    </w:p>
    <w:p w14:paraId="3D7A36E9" w14:textId="77777777" w:rsidR="00015FD4" w:rsidRPr="00952E1E" w:rsidRDefault="00015FD4" w:rsidP="0083047F">
      <w:pPr>
        <w:tabs>
          <w:tab w:val="left" w:pos="960"/>
        </w:tabs>
      </w:pPr>
    </w:p>
    <w:p w14:paraId="2E5D1261" w14:textId="4D8E81F6" w:rsidR="00891419" w:rsidRPr="00F74723" w:rsidRDefault="00891419" w:rsidP="00F74723">
      <w:pPr>
        <w:pStyle w:val="Nadpis2"/>
      </w:pPr>
      <w:r w:rsidRPr="00F74723">
        <w:t>Úprava dí</w:t>
      </w:r>
      <w:r w:rsidR="004F2CEF">
        <w:t>lčího závěru bodu 1.2 odstavce b</w:t>
      </w:r>
      <w:r w:rsidRPr="00F74723">
        <w:t>)</w:t>
      </w:r>
      <w:r w:rsidR="004F2CEF">
        <w:t xml:space="preserve"> – str. 14</w:t>
      </w:r>
    </w:p>
    <w:p w14:paraId="05F42025" w14:textId="77777777" w:rsidR="00891419" w:rsidRDefault="00891419" w:rsidP="00891419">
      <w:pPr>
        <w:pStyle w:val="Odstavecseseznamem"/>
        <w:jc w:val="both"/>
        <w:rPr>
          <w:rFonts w:ascii="Arial" w:hAnsi="Arial" w:cs="Arial"/>
          <w:b/>
        </w:rPr>
      </w:pPr>
    </w:p>
    <w:p w14:paraId="6747AECA" w14:textId="77777777" w:rsidR="00891419" w:rsidRPr="00E6618D" w:rsidRDefault="00891419" w:rsidP="00891419">
      <w:pPr>
        <w:ind w:firstLine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14:paraId="4F78BA92" w14:textId="77777777" w:rsidR="00891419" w:rsidRDefault="00891419" w:rsidP="0089141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20C302E8" w14:textId="70BB12BA" w:rsidR="00891419" w:rsidRDefault="00891419" w:rsidP="00891419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Zahrnutí trendu </w:t>
      </w:r>
      <w:r w:rsidR="000A7189">
        <w:rPr>
          <w:rFonts w:ascii="Arial" w:hAnsi="Arial" w:cs="Arial"/>
          <w:b/>
          <w:sz w:val="22"/>
          <w:szCs w:val="22"/>
        </w:rPr>
        <w:t xml:space="preserve">vzájemné </w:t>
      </w:r>
      <w:proofErr w:type="spellStart"/>
      <w:r>
        <w:rPr>
          <w:rFonts w:ascii="Arial" w:hAnsi="Arial" w:cs="Arial"/>
          <w:b/>
          <w:sz w:val="22"/>
          <w:szCs w:val="22"/>
        </w:rPr>
        <w:t>substituovatelnosti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0A7189">
        <w:rPr>
          <w:rFonts w:ascii="Arial" w:hAnsi="Arial" w:cs="Arial"/>
          <w:b/>
          <w:sz w:val="22"/>
          <w:szCs w:val="22"/>
        </w:rPr>
        <w:t xml:space="preserve">služeb mobilní tarif s daty a mobilní internet </w:t>
      </w:r>
      <w:r>
        <w:rPr>
          <w:rFonts w:ascii="Arial" w:hAnsi="Arial" w:cs="Arial"/>
          <w:b/>
          <w:sz w:val="22"/>
          <w:szCs w:val="22"/>
        </w:rPr>
        <w:t xml:space="preserve">do dílčího závěru ve smyslu </w:t>
      </w:r>
      <w:r w:rsidR="000A7189">
        <w:rPr>
          <w:rFonts w:ascii="Arial" w:hAnsi="Arial" w:cs="Arial"/>
          <w:b/>
          <w:sz w:val="22"/>
          <w:szCs w:val="22"/>
        </w:rPr>
        <w:t xml:space="preserve">stále se </w:t>
      </w:r>
      <w:r>
        <w:rPr>
          <w:rFonts w:ascii="Arial" w:hAnsi="Arial" w:cs="Arial"/>
          <w:b/>
          <w:sz w:val="22"/>
          <w:szCs w:val="22"/>
        </w:rPr>
        <w:t>snižujících rozdílů mezi těmito službami.</w:t>
      </w:r>
    </w:p>
    <w:p w14:paraId="3AB94255" w14:textId="77777777" w:rsidR="00891419" w:rsidRDefault="00891419" w:rsidP="0089141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39F587CF" w14:textId="7A0F0FE2" w:rsidR="00891419" w:rsidRPr="0002076A" w:rsidRDefault="00891419" w:rsidP="00891419">
      <w:pPr>
        <w:ind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1B67D97B" w14:textId="77777777" w:rsidR="00891419" w:rsidRDefault="00891419" w:rsidP="0089141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0A4A811B" w14:textId="0EC36ECA" w:rsidR="00891419" w:rsidRDefault="00891419" w:rsidP="00891419">
      <w:pPr>
        <w:ind w:left="357"/>
        <w:jc w:val="both"/>
        <w:rPr>
          <w:rFonts w:ascii="Arial" w:hAnsi="Arial" w:cs="Arial"/>
          <w:sz w:val="22"/>
          <w:szCs w:val="22"/>
        </w:rPr>
      </w:pPr>
      <w:r w:rsidRPr="00891419">
        <w:rPr>
          <w:rFonts w:ascii="Arial" w:hAnsi="Arial" w:cs="Arial"/>
          <w:sz w:val="22"/>
          <w:szCs w:val="22"/>
        </w:rPr>
        <w:t>Služby m</w:t>
      </w:r>
      <w:r>
        <w:rPr>
          <w:rFonts w:ascii="Arial" w:hAnsi="Arial" w:cs="Arial"/>
          <w:sz w:val="22"/>
          <w:szCs w:val="22"/>
        </w:rPr>
        <w:t>obilní tarif</w:t>
      </w:r>
      <w:r w:rsidRPr="00891419">
        <w:rPr>
          <w:rFonts w:ascii="Arial" w:hAnsi="Arial" w:cs="Arial"/>
          <w:sz w:val="22"/>
          <w:szCs w:val="22"/>
        </w:rPr>
        <w:t xml:space="preserve"> s daty a mobilní internet sice stále nejsou </w:t>
      </w:r>
      <w:r w:rsidR="00FB78EB">
        <w:rPr>
          <w:rFonts w:ascii="Arial" w:hAnsi="Arial" w:cs="Arial"/>
          <w:sz w:val="22"/>
          <w:szCs w:val="22"/>
        </w:rPr>
        <w:t xml:space="preserve">dokonalými </w:t>
      </w:r>
      <w:r w:rsidRPr="00891419">
        <w:rPr>
          <w:rFonts w:ascii="Arial" w:hAnsi="Arial" w:cs="Arial"/>
          <w:sz w:val="22"/>
          <w:szCs w:val="22"/>
        </w:rPr>
        <w:t xml:space="preserve">substituty, ale </w:t>
      </w:r>
      <w:r>
        <w:rPr>
          <w:rFonts w:ascii="Arial" w:hAnsi="Arial" w:cs="Arial"/>
          <w:sz w:val="22"/>
          <w:szCs w:val="22"/>
        </w:rPr>
        <w:t xml:space="preserve">především rozvoj OTT služeb </w:t>
      </w:r>
      <w:r w:rsidR="000A7189">
        <w:rPr>
          <w:rFonts w:ascii="Arial" w:hAnsi="Arial" w:cs="Arial"/>
          <w:sz w:val="22"/>
          <w:szCs w:val="22"/>
        </w:rPr>
        <w:t xml:space="preserve">velmi </w:t>
      </w:r>
      <w:r>
        <w:rPr>
          <w:rFonts w:ascii="Arial" w:hAnsi="Arial" w:cs="Arial"/>
          <w:sz w:val="22"/>
          <w:szCs w:val="22"/>
        </w:rPr>
        <w:t xml:space="preserve">mění chování uživatelů a </w:t>
      </w:r>
      <w:r w:rsidR="000A7189">
        <w:rPr>
          <w:rFonts w:ascii="Arial" w:hAnsi="Arial" w:cs="Arial"/>
          <w:sz w:val="22"/>
          <w:szCs w:val="22"/>
        </w:rPr>
        <w:t xml:space="preserve">s tím spojené </w:t>
      </w:r>
      <w:r>
        <w:rPr>
          <w:rFonts w:ascii="Arial" w:hAnsi="Arial" w:cs="Arial"/>
          <w:sz w:val="22"/>
          <w:szCs w:val="22"/>
        </w:rPr>
        <w:t xml:space="preserve">nabídky poskytovatelů tak, že se obě služby neustále </w:t>
      </w:r>
      <w:r w:rsidR="000A7189">
        <w:rPr>
          <w:rFonts w:ascii="Arial" w:hAnsi="Arial" w:cs="Arial"/>
          <w:sz w:val="22"/>
          <w:szCs w:val="22"/>
        </w:rPr>
        <w:t xml:space="preserve">vzájemně </w:t>
      </w:r>
      <w:r>
        <w:rPr>
          <w:rFonts w:ascii="Arial" w:hAnsi="Arial" w:cs="Arial"/>
          <w:sz w:val="22"/>
          <w:szCs w:val="22"/>
        </w:rPr>
        <w:t xml:space="preserve">přibližují a jejich </w:t>
      </w:r>
      <w:r w:rsidR="00DE78B4">
        <w:rPr>
          <w:rFonts w:ascii="Arial" w:hAnsi="Arial" w:cs="Arial"/>
          <w:sz w:val="22"/>
          <w:szCs w:val="22"/>
        </w:rPr>
        <w:t xml:space="preserve">schopnost </w:t>
      </w:r>
      <w:r w:rsidR="004F2CEF">
        <w:rPr>
          <w:rFonts w:ascii="Arial" w:hAnsi="Arial" w:cs="Arial"/>
          <w:sz w:val="22"/>
          <w:szCs w:val="22"/>
        </w:rPr>
        <w:t>substit</w:t>
      </w:r>
      <w:r w:rsidR="00DE78B4">
        <w:rPr>
          <w:rFonts w:ascii="Arial" w:hAnsi="Arial" w:cs="Arial"/>
          <w:sz w:val="22"/>
          <w:szCs w:val="22"/>
        </w:rPr>
        <w:t>uce</w:t>
      </w:r>
      <w:r w:rsidR="004F2CEF">
        <w:rPr>
          <w:rFonts w:ascii="Arial" w:hAnsi="Arial" w:cs="Arial"/>
          <w:sz w:val="22"/>
          <w:szCs w:val="22"/>
        </w:rPr>
        <w:t xml:space="preserve"> se </w:t>
      </w:r>
      <w:r w:rsidR="008521AE">
        <w:rPr>
          <w:rFonts w:ascii="Arial" w:hAnsi="Arial" w:cs="Arial"/>
          <w:sz w:val="22"/>
          <w:szCs w:val="22"/>
        </w:rPr>
        <w:t xml:space="preserve">výrazně </w:t>
      </w:r>
      <w:r w:rsidR="004F2CEF">
        <w:rPr>
          <w:rFonts w:ascii="Arial" w:hAnsi="Arial" w:cs="Arial"/>
          <w:sz w:val="22"/>
          <w:szCs w:val="22"/>
        </w:rPr>
        <w:t>zvyšuje.</w:t>
      </w:r>
      <w:r w:rsidR="00B15137">
        <w:rPr>
          <w:rFonts w:ascii="Arial" w:hAnsi="Arial" w:cs="Arial"/>
          <w:sz w:val="22"/>
          <w:szCs w:val="22"/>
        </w:rPr>
        <w:t xml:space="preserve"> Nadto, s ohledem na pravidla síťové neutrality</w:t>
      </w:r>
      <w:r w:rsidR="00FB78EB">
        <w:rPr>
          <w:rFonts w:ascii="Arial" w:hAnsi="Arial" w:cs="Arial"/>
          <w:sz w:val="22"/>
          <w:szCs w:val="22"/>
        </w:rPr>
        <w:t>,</w:t>
      </w:r>
      <w:r w:rsidR="00B15137">
        <w:rPr>
          <w:rFonts w:ascii="Arial" w:hAnsi="Arial" w:cs="Arial"/>
          <w:sz w:val="22"/>
          <w:szCs w:val="22"/>
        </w:rPr>
        <w:t xml:space="preserve"> neexistují ani žádné technické nebo smluvní překážky pro naprosto substituční využití těchto služeb. </w:t>
      </w:r>
    </w:p>
    <w:p w14:paraId="30D222F1" w14:textId="77777777" w:rsidR="00713561" w:rsidRPr="00891419" w:rsidRDefault="00713561" w:rsidP="00891419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396DA7F" w14:textId="77777777" w:rsidR="00891419" w:rsidRDefault="00891419" w:rsidP="00891419">
      <w:pPr>
        <w:jc w:val="both"/>
        <w:rPr>
          <w:rFonts w:ascii="Arial" w:hAnsi="Arial" w:cs="Arial"/>
          <w:b/>
        </w:rPr>
      </w:pPr>
    </w:p>
    <w:p w14:paraId="21B4F1E0" w14:textId="77777777" w:rsidR="00D27890" w:rsidRDefault="00D27890" w:rsidP="00891419">
      <w:pPr>
        <w:jc w:val="both"/>
        <w:rPr>
          <w:rFonts w:ascii="Arial" w:hAnsi="Arial" w:cs="Arial"/>
          <w:b/>
        </w:rPr>
      </w:pPr>
    </w:p>
    <w:p w14:paraId="38767040" w14:textId="217C6A2E" w:rsidR="00DA0D1C" w:rsidRPr="00E437D8" w:rsidRDefault="00FB37E5" w:rsidP="00265D7D">
      <w:pPr>
        <w:pStyle w:val="Nadpis2"/>
      </w:pPr>
      <w:r>
        <w:lastRenderedPageBreak/>
        <w:t xml:space="preserve">Chybné údaje v Tab. </w:t>
      </w:r>
      <w:proofErr w:type="gramStart"/>
      <w:r>
        <w:t>č.</w:t>
      </w:r>
      <w:proofErr w:type="gramEnd"/>
      <w:r>
        <w:t xml:space="preserve"> </w:t>
      </w:r>
      <w:r w:rsidR="00F35A07">
        <w:t>3: Průměrná měsíční spotřeba a ARPU pro jednotlivé typy zákazníků u mobilních tarifů s</w:t>
      </w:r>
      <w:r w:rsidR="004F2CEF">
        <w:t> </w:t>
      </w:r>
      <w:r w:rsidR="00F35A07">
        <w:t>daty</w:t>
      </w:r>
      <w:r w:rsidR="004F2CEF">
        <w:t xml:space="preserve"> – str. 19 (53)</w:t>
      </w:r>
    </w:p>
    <w:p w14:paraId="32BD1A92" w14:textId="77777777" w:rsidR="00DA0D1C" w:rsidRDefault="00DA0D1C" w:rsidP="00DA0D1C">
      <w:pPr>
        <w:ind w:left="357"/>
        <w:rPr>
          <w:rFonts w:ascii="Arial" w:hAnsi="Arial" w:cs="Arial"/>
          <w:sz w:val="22"/>
          <w:szCs w:val="22"/>
        </w:rPr>
      </w:pPr>
    </w:p>
    <w:p w14:paraId="1BB12C48" w14:textId="77777777" w:rsidR="00DA0D1C" w:rsidRPr="00E6618D" w:rsidRDefault="00DA0D1C" w:rsidP="00DA0D1C">
      <w:pPr>
        <w:ind w:firstLine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14:paraId="76FC8671" w14:textId="77777777" w:rsidR="00DA0D1C" w:rsidRDefault="00DA0D1C" w:rsidP="00DA0D1C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50BE9768" w14:textId="4E3848F6" w:rsidR="00DA0D1C" w:rsidRPr="00EB741D" w:rsidRDefault="006323C6" w:rsidP="00556702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Opravit </w:t>
      </w:r>
      <w:r w:rsidRPr="00846904">
        <w:rPr>
          <w:rFonts w:ascii="Arial" w:hAnsi="Arial" w:cs="Arial"/>
          <w:b/>
          <w:sz w:val="22"/>
          <w:szCs w:val="22"/>
        </w:rPr>
        <w:t xml:space="preserve">nesprávně </w:t>
      </w:r>
      <w:r w:rsidRPr="006323C6">
        <w:rPr>
          <w:rFonts w:ascii="Arial" w:hAnsi="Arial" w:cs="Arial"/>
          <w:b/>
          <w:sz w:val="22"/>
          <w:szCs w:val="22"/>
        </w:rPr>
        <w:t>stanoven</w:t>
      </w:r>
      <w:r w:rsidR="00F35A07">
        <w:rPr>
          <w:rFonts w:ascii="Arial" w:hAnsi="Arial" w:cs="Arial"/>
          <w:b/>
          <w:sz w:val="22"/>
          <w:szCs w:val="22"/>
        </w:rPr>
        <w:t xml:space="preserve">é průměry </w:t>
      </w:r>
      <w:r w:rsidRPr="00846904">
        <w:rPr>
          <w:rFonts w:ascii="Arial" w:hAnsi="Arial" w:cs="Arial"/>
          <w:b/>
          <w:sz w:val="22"/>
          <w:szCs w:val="22"/>
        </w:rPr>
        <w:t>v</w:t>
      </w:r>
      <w:r w:rsidR="00F35A07">
        <w:rPr>
          <w:rFonts w:ascii="Arial" w:hAnsi="Arial" w:cs="Arial"/>
          <w:b/>
          <w:sz w:val="22"/>
          <w:szCs w:val="22"/>
        </w:rPr>
        <w:t> </w:t>
      </w:r>
      <w:r w:rsidRPr="00846904">
        <w:rPr>
          <w:rFonts w:ascii="Arial" w:hAnsi="Arial" w:cs="Arial"/>
          <w:b/>
          <w:sz w:val="22"/>
          <w:szCs w:val="22"/>
        </w:rPr>
        <w:t>tabul</w:t>
      </w:r>
      <w:r w:rsidR="00F35A07">
        <w:rPr>
          <w:rFonts w:ascii="Arial" w:hAnsi="Arial" w:cs="Arial"/>
          <w:b/>
          <w:sz w:val="22"/>
          <w:szCs w:val="22"/>
        </w:rPr>
        <w:t>ce č. 3 ve sloupci „Celkem“ a na něj nav</w:t>
      </w:r>
      <w:r w:rsidR="00B927BE">
        <w:rPr>
          <w:rFonts w:ascii="Arial" w:hAnsi="Arial" w:cs="Arial"/>
          <w:b/>
          <w:sz w:val="22"/>
          <w:szCs w:val="22"/>
        </w:rPr>
        <w:t>ázaný sloupec „Jednotkové ceny“ (s</w:t>
      </w:r>
      <w:r w:rsidR="000A7189">
        <w:rPr>
          <w:rFonts w:ascii="Arial" w:hAnsi="Arial" w:cs="Arial"/>
          <w:b/>
          <w:sz w:val="22"/>
          <w:szCs w:val="22"/>
        </w:rPr>
        <w:t>tr</w:t>
      </w:r>
      <w:r w:rsidR="00B927BE">
        <w:rPr>
          <w:rFonts w:ascii="Arial" w:hAnsi="Arial" w:cs="Arial"/>
          <w:b/>
          <w:sz w:val="22"/>
          <w:szCs w:val="22"/>
        </w:rPr>
        <w:t>. 19).</w:t>
      </w:r>
      <w:r w:rsidR="00F26C67">
        <w:rPr>
          <w:rFonts w:ascii="Arial" w:hAnsi="Arial" w:cs="Arial"/>
          <w:b/>
          <w:sz w:val="22"/>
          <w:szCs w:val="22"/>
        </w:rPr>
        <w:t xml:space="preserve"> </w:t>
      </w:r>
      <w:r w:rsidR="00FB78EB">
        <w:rPr>
          <w:rFonts w:ascii="Arial" w:hAnsi="Arial" w:cs="Arial"/>
          <w:b/>
          <w:sz w:val="22"/>
          <w:szCs w:val="22"/>
        </w:rPr>
        <w:t xml:space="preserve">Opravit datově provázanou </w:t>
      </w:r>
      <w:r w:rsidR="00F26C67">
        <w:rPr>
          <w:rFonts w:ascii="Arial" w:hAnsi="Arial" w:cs="Arial"/>
          <w:b/>
          <w:sz w:val="22"/>
          <w:szCs w:val="22"/>
        </w:rPr>
        <w:t>tabulk</w:t>
      </w:r>
      <w:r w:rsidR="00FB78EB">
        <w:rPr>
          <w:rFonts w:ascii="Arial" w:hAnsi="Arial" w:cs="Arial"/>
          <w:b/>
          <w:sz w:val="22"/>
          <w:szCs w:val="22"/>
        </w:rPr>
        <w:t>u</w:t>
      </w:r>
      <w:r w:rsidR="00F26C67">
        <w:rPr>
          <w:rFonts w:ascii="Arial" w:hAnsi="Arial" w:cs="Arial"/>
          <w:b/>
          <w:sz w:val="22"/>
          <w:szCs w:val="22"/>
        </w:rPr>
        <w:t xml:space="preserve"> č. 7.</w:t>
      </w:r>
    </w:p>
    <w:p w14:paraId="3AC36273" w14:textId="77777777" w:rsidR="00DA0D1C" w:rsidRDefault="00DA0D1C" w:rsidP="00DA0D1C">
      <w:pPr>
        <w:ind w:firstLine="357"/>
        <w:rPr>
          <w:rFonts w:ascii="Arial" w:hAnsi="Arial" w:cs="Arial"/>
          <w:i/>
          <w:sz w:val="22"/>
          <w:szCs w:val="22"/>
        </w:rPr>
      </w:pPr>
    </w:p>
    <w:p w14:paraId="74A49E4E" w14:textId="77777777" w:rsidR="00DA0D1C" w:rsidRPr="0002076A" w:rsidRDefault="00DA0D1C" w:rsidP="00DA0D1C">
      <w:pPr>
        <w:ind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6A5A0FF1" w14:textId="77777777" w:rsidR="00DA0D1C" w:rsidRDefault="00DA0D1C" w:rsidP="00DA0D1C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5790AF3C" w14:textId="133251C1" w:rsidR="00F35A07" w:rsidRDefault="00DA0D1C" w:rsidP="00556702">
      <w:pPr>
        <w:ind w:left="357"/>
        <w:jc w:val="both"/>
        <w:rPr>
          <w:rFonts w:ascii="Arial" w:hAnsi="Arial" w:cs="Arial"/>
          <w:sz w:val="22"/>
          <w:szCs w:val="22"/>
        </w:rPr>
      </w:pPr>
      <w:r w:rsidRPr="00DA0D1C">
        <w:rPr>
          <w:rFonts w:ascii="Arial" w:hAnsi="Arial" w:cs="Arial"/>
          <w:sz w:val="22"/>
          <w:szCs w:val="22"/>
        </w:rPr>
        <w:t>Výsled</w:t>
      </w:r>
      <w:r>
        <w:rPr>
          <w:rFonts w:ascii="Arial" w:hAnsi="Arial" w:cs="Arial"/>
          <w:sz w:val="22"/>
          <w:szCs w:val="22"/>
        </w:rPr>
        <w:t xml:space="preserve">né hodnoty </w:t>
      </w:r>
      <w:r w:rsidR="00F35A07">
        <w:rPr>
          <w:rFonts w:ascii="Arial" w:hAnsi="Arial" w:cs="Arial"/>
          <w:sz w:val="22"/>
          <w:szCs w:val="22"/>
        </w:rPr>
        <w:t>celkových průměrů mají pravděpodobně představovat vážený průměr údajů poskytnutých třemi mobilními operátory, přičemž vahami má být počet SIM karet každého z operátorů. Výsledné hodnoty tomuto výpočtu ale neodpovídají. Nejvíce lze tuto matematickou nelogičnost pozorovat na posledním řádku v tabulce zná</w:t>
      </w:r>
      <w:r w:rsidR="000A7189">
        <w:rPr>
          <w:rFonts w:ascii="Arial" w:hAnsi="Arial" w:cs="Arial"/>
          <w:sz w:val="22"/>
          <w:szCs w:val="22"/>
        </w:rPr>
        <w:t>z</w:t>
      </w:r>
      <w:r w:rsidR="00F35A07">
        <w:rPr>
          <w:rFonts w:ascii="Arial" w:hAnsi="Arial" w:cs="Arial"/>
          <w:sz w:val="22"/>
          <w:szCs w:val="22"/>
        </w:rPr>
        <w:t>o</w:t>
      </w:r>
      <w:r w:rsidR="000A7189">
        <w:rPr>
          <w:rFonts w:ascii="Arial" w:hAnsi="Arial" w:cs="Arial"/>
          <w:sz w:val="22"/>
          <w:szCs w:val="22"/>
        </w:rPr>
        <w:t>r</w:t>
      </w:r>
      <w:r w:rsidR="00F35A07">
        <w:rPr>
          <w:rFonts w:ascii="Arial" w:hAnsi="Arial" w:cs="Arial"/>
          <w:sz w:val="22"/>
          <w:szCs w:val="22"/>
        </w:rPr>
        <w:t xml:space="preserve">ňující údaje za podnikající osoby. Celková průměrná hodnota je zde nižší než </w:t>
      </w:r>
      <w:r w:rsidR="008521AE">
        <w:rPr>
          <w:rFonts w:ascii="Arial" w:hAnsi="Arial" w:cs="Arial"/>
          <w:sz w:val="22"/>
          <w:szCs w:val="22"/>
        </w:rPr>
        <w:t>hodnoty</w:t>
      </w:r>
      <w:r w:rsidR="00F35A07">
        <w:rPr>
          <w:rFonts w:ascii="Arial" w:hAnsi="Arial" w:cs="Arial"/>
          <w:sz w:val="22"/>
          <w:szCs w:val="22"/>
        </w:rPr>
        <w:t xml:space="preserve"> průměr</w:t>
      </w:r>
      <w:r w:rsidR="008521AE">
        <w:rPr>
          <w:rFonts w:ascii="Arial" w:hAnsi="Arial" w:cs="Arial"/>
          <w:sz w:val="22"/>
          <w:szCs w:val="22"/>
        </w:rPr>
        <w:t>né spotřeby dat</w:t>
      </w:r>
      <w:r w:rsidR="00F35A07">
        <w:rPr>
          <w:rFonts w:ascii="Arial" w:hAnsi="Arial" w:cs="Arial"/>
          <w:sz w:val="22"/>
          <w:szCs w:val="22"/>
        </w:rPr>
        <w:t xml:space="preserve"> </w:t>
      </w:r>
      <w:r w:rsidR="006A2653">
        <w:rPr>
          <w:rFonts w:ascii="Arial" w:hAnsi="Arial" w:cs="Arial"/>
          <w:sz w:val="22"/>
          <w:szCs w:val="22"/>
        </w:rPr>
        <w:t>všech tří mobilních síťových operátorů</w:t>
      </w:r>
      <w:r w:rsidR="00F35A07">
        <w:rPr>
          <w:rFonts w:ascii="Arial" w:hAnsi="Arial" w:cs="Arial"/>
          <w:sz w:val="22"/>
          <w:szCs w:val="22"/>
        </w:rPr>
        <w:t>.</w:t>
      </w:r>
    </w:p>
    <w:p w14:paraId="1BFF9BF5" w14:textId="77777777" w:rsidR="00E02499" w:rsidRDefault="00E02499" w:rsidP="0055670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14995A78" w14:textId="77777777" w:rsidR="00015FD4" w:rsidRDefault="00015FD4" w:rsidP="0055670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586D50BE" w14:textId="738DF07D" w:rsidR="00B37E52" w:rsidRDefault="00260694" w:rsidP="00B37E52">
      <w:pPr>
        <w:pStyle w:val="Nadpis2"/>
      </w:pPr>
      <w:r>
        <w:t>V aukcích v letech 2013 ani 2016 neprojevil zájem žádný nový poskytovatel mobilních služeb (str. 27)</w:t>
      </w:r>
    </w:p>
    <w:p w14:paraId="1FB1A6F9" w14:textId="77777777" w:rsidR="00B37E52" w:rsidRDefault="00B37E52" w:rsidP="00B37E52"/>
    <w:p w14:paraId="4E3B7F76" w14:textId="66595C12" w:rsidR="00B37E52" w:rsidRDefault="00B37E52" w:rsidP="00B37E52">
      <w:pPr>
        <w:ind w:firstLine="360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>Návrh na doplnění, změnu, zrušení nebo nahrazení textu ustanovení návrhu opatření:</w:t>
      </w:r>
    </w:p>
    <w:p w14:paraId="0D2DFA7B" w14:textId="77777777" w:rsidR="00B37E52" w:rsidRDefault="00B37E52" w:rsidP="00B37E52">
      <w:pPr>
        <w:ind w:firstLine="360"/>
        <w:rPr>
          <w:rFonts w:ascii="Arial" w:hAnsi="Arial" w:cs="Arial"/>
          <w:i/>
          <w:sz w:val="22"/>
          <w:szCs w:val="22"/>
        </w:rPr>
      </w:pPr>
    </w:p>
    <w:p w14:paraId="2CA0C092" w14:textId="77265854" w:rsidR="0096736C" w:rsidRPr="00260694" w:rsidRDefault="002624B8" w:rsidP="00260694">
      <w:pPr>
        <w:ind w:left="357" w:firstLine="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 dokumentu je nutné odstranit </w:t>
      </w:r>
      <w:r w:rsidR="00D159DD">
        <w:rPr>
          <w:rFonts w:ascii="Arial" w:hAnsi="Arial" w:cs="Arial"/>
          <w:b/>
          <w:sz w:val="22"/>
          <w:szCs w:val="22"/>
        </w:rPr>
        <w:t xml:space="preserve">nesprávné </w:t>
      </w:r>
      <w:r>
        <w:rPr>
          <w:rFonts w:ascii="Arial" w:hAnsi="Arial" w:cs="Arial"/>
          <w:b/>
          <w:sz w:val="22"/>
          <w:szCs w:val="22"/>
        </w:rPr>
        <w:t xml:space="preserve">tvrzení ČTÚ o </w:t>
      </w:r>
      <w:r w:rsidRPr="00393E48">
        <w:rPr>
          <w:rFonts w:ascii="Arial" w:hAnsi="Arial" w:cs="Arial"/>
          <w:b/>
          <w:sz w:val="22"/>
          <w:szCs w:val="22"/>
        </w:rPr>
        <w:t>vysokých</w:t>
      </w:r>
      <w:r w:rsidRPr="0083047F">
        <w:rPr>
          <w:rFonts w:ascii="Arial" w:hAnsi="Arial" w:cs="Arial"/>
          <w:b/>
          <w:sz w:val="22"/>
          <w:szCs w:val="22"/>
        </w:rPr>
        <w:t xml:space="preserve"> vstupní</w:t>
      </w:r>
      <w:r>
        <w:rPr>
          <w:rFonts w:ascii="Arial" w:hAnsi="Arial" w:cs="Arial"/>
          <w:b/>
          <w:sz w:val="22"/>
          <w:szCs w:val="22"/>
        </w:rPr>
        <w:t>ch</w:t>
      </w:r>
      <w:r w:rsidRPr="0083047F">
        <w:rPr>
          <w:rFonts w:ascii="Arial" w:hAnsi="Arial" w:cs="Arial"/>
          <w:b/>
          <w:sz w:val="22"/>
          <w:szCs w:val="22"/>
        </w:rPr>
        <w:t xml:space="preserve"> investiční</w:t>
      </w:r>
      <w:r>
        <w:rPr>
          <w:rFonts w:ascii="Arial" w:hAnsi="Arial" w:cs="Arial"/>
          <w:b/>
          <w:sz w:val="22"/>
          <w:szCs w:val="22"/>
        </w:rPr>
        <w:t>ch</w:t>
      </w:r>
      <w:r w:rsidRPr="0083047F">
        <w:rPr>
          <w:rFonts w:ascii="Arial" w:hAnsi="Arial" w:cs="Arial"/>
          <w:b/>
          <w:sz w:val="22"/>
          <w:szCs w:val="22"/>
        </w:rPr>
        <w:t xml:space="preserve"> náklad</w:t>
      </w:r>
      <w:r w:rsidRPr="00393E48">
        <w:rPr>
          <w:rFonts w:ascii="Arial" w:hAnsi="Arial" w:cs="Arial"/>
          <w:b/>
          <w:sz w:val="22"/>
          <w:szCs w:val="22"/>
        </w:rPr>
        <w:t>ech jako bariéře</w:t>
      </w:r>
      <w:r w:rsidR="00D159DD">
        <w:rPr>
          <w:rFonts w:ascii="Arial" w:hAnsi="Arial" w:cs="Arial"/>
          <w:b/>
          <w:sz w:val="22"/>
          <w:szCs w:val="22"/>
        </w:rPr>
        <w:t xml:space="preserve"> pro vstup na trh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159DD">
        <w:rPr>
          <w:rFonts w:ascii="Arial" w:hAnsi="Arial" w:cs="Arial"/>
          <w:b/>
          <w:sz w:val="22"/>
          <w:szCs w:val="22"/>
        </w:rPr>
        <w:t xml:space="preserve">resp. </w:t>
      </w:r>
      <w:r>
        <w:rPr>
          <w:rFonts w:ascii="Arial" w:hAnsi="Arial" w:cs="Arial"/>
          <w:b/>
          <w:sz w:val="22"/>
          <w:szCs w:val="22"/>
        </w:rPr>
        <w:t>výskytu něčeho negativního a nepřirozeného</w:t>
      </w:r>
      <w:r w:rsidR="00D159D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159DD">
        <w:rPr>
          <w:rFonts w:ascii="Arial" w:hAnsi="Arial" w:cs="Arial"/>
          <w:b/>
          <w:sz w:val="22"/>
          <w:szCs w:val="22"/>
        </w:rPr>
        <w:t xml:space="preserve">Druhou alternativní možností je </w:t>
      </w:r>
      <w:r>
        <w:rPr>
          <w:rFonts w:ascii="Arial" w:hAnsi="Arial" w:cs="Arial"/>
          <w:b/>
          <w:sz w:val="22"/>
          <w:szCs w:val="22"/>
        </w:rPr>
        <w:t>toto tvrzení minimálně opravit</w:t>
      </w:r>
      <w:r w:rsidR="00E02499">
        <w:rPr>
          <w:rFonts w:ascii="Arial" w:hAnsi="Arial" w:cs="Arial"/>
          <w:b/>
          <w:sz w:val="22"/>
          <w:szCs w:val="22"/>
        </w:rPr>
        <w:t xml:space="preserve"> v tom smyslu</w:t>
      </w:r>
      <w:r>
        <w:rPr>
          <w:rFonts w:ascii="Arial" w:hAnsi="Arial" w:cs="Arial"/>
          <w:b/>
          <w:sz w:val="22"/>
          <w:szCs w:val="22"/>
        </w:rPr>
        <w:t xml:space="preserve">, že jde o přirozenou součást každého síťového odvětví včetně podnikání v elektronických komunikací, která však nemusí nutně nést negativní důsledky. </w:t>
      </w:r>
      <w:r w:rsidR="00A767B1">
        <w:rPr>
          <w:rFonts w:ascii="Arial" w:hAnsi="Arial" w:cs="Arial"/>
          <w:b/>
          <w:sz w:val="22"/>
          <w:szCs w:val="22"/>
        </w:rPr>
        <w:t xml:space="preserve">Do dokumentu je </w:t>
      </w:r>
      <w:r>
        <w:rPr>
          <w:rFonts w:ascii="Arial" w:hAnsi="Arial" w:cs="Arial"/>
          <w:b/>
          <w:sz w:val="22"/>
          <w:szCs w:val="22"/>
        </w:rPr>
        <w:t xml:space="preserve">dále </w:t>
      </w:r>
      <w:r w:rsidR="00A767B1">
        <w:rPr>
          <w:rFonts w:ascii="Arial" w:hAnsi="Arial" w:cs="Arial"/>
          <w:b/>
          <w:sz w:val="22"/>
          <w:szCs w:val="22"/>
        </w:rPr>
        <w:t>nutné z</w:t>
      </w:r>
      <w:r w:rsidR="00260694" w:rsidRPr="00260694">
        <w:rPr>
          <w:rFonts w:ascii="Arial" w:hAnsi="Arial" w:cs="Arial"/>
          <w:b/>
          <w:sz w:val="22"/>
          <w:szCs w:val="22"/>
        </w:rPr>
        <w:t>ahrn</w:t>
      </w:r>
      <w:r w:rsidR="00A767B1">
        <w:rPr>
          <w:rFonts w:ascii="Arial" w:hAnsi="Arial" w:cs="Arial"/>
          <w:b/>
          <w:sz w:val="22"/>
          <w:szCs w:val="22"/>
        </w:rPr>
        <w:t>out</w:t>
      </w:r>
      <w:r w:rsidR="00260694" w:rsidRPr="00260694">
        <w:rPr>
          <w:rFonts w:ascii="Arial" w:hAnsi="Arial" w:cs="Arial"/>
          <w:b/>
          <w:sz w:val="22"/>
          <w:szCs w:val="22"/>
        </w:rPr>
        <w:t xml:space="preserve"> </w:t>
      </w:r>
      <w:r w:rsidR="00260694">
        <w:rPr>
          <w:rFonts w:ascii="Arial" w:hAnsi="Arial" w:cs="Arial"/>
          <w:b/>
          <w:sz w:val="22"/>
          <w:szCs w:val="22"/>
        </w:rPr>
        <w:t xml:space="preserve">fakt </w:t>
      </w:r>
      <w:r w:rsidR="00A767B1">
        <w:rPr>
          <w:rFonts w:ascii="Arial" w:hAnsi="Arial" w:cs="Arial"/>
          <w:b/>
          <w:sz w:val="22"/>
          <w:szCs w:val="22"/>
        </w:rPr>
        <w:t>týkající se</w:t>
      </w:r>
      <w:r w:rsidR="00260694">
        <w:rPr>
          <w:rFonts w:ascii="Arial" w:hAnsi="Arial" w:cs="Arial"/>
          <w:b/>
          <w:sz w:val="22"/>
          <w:szCs w:val="22"/>
        </w:rPr>
        <w:t xml:space="preserve"> </w:t>
      </w:r>
      <w:r w:rsidR="00260694" w:rsidRPr="00260694">
        <w:rPr>
          <w:rFonts w:ascii="Arial" w:hAnsi="Arial" w:cs="Arial"/>
          <w:b/>
          <w:sz w:val="22"/>
          <w:szCs w:val="22"/>
        </w:rPr>
        <w:t>výsledk</w:t>
      </w:r>
      <w:r w:rsidR="00A767B1">
        <w:rPr>
          <w:rFonts w:ascii="Arial" w:hAnsi="Arial" w:cs="Arial"/>
          <w:b/>
          <w:sz w:val="22"/>
          <w:szCs w:val="22"/>
        </w:rPr>
        <w:t>ů</w:t>
      </w:r>
      <w:r w:rsidR="00260694" w:rsidRPr="00260694">
        <w:rPr>
          <w:rFonts w:ascii="Arial" w:hAnsi="Arial" w:cs="Arial"/>
          <w:b/>
          <w:sz w:val="22"/>
          <w:szCs w:val="22"/>
        </w:rPr>
        <w:t xml:space="preserve"> vel</w:t>
      </w:r>
      <w:r w:rsidR="006A2653">
        <w:rPr>
          <w:rFonts w:ascii="Arial" w:hAnsi="Arial" w:cs="Arial"/>
          <w:b/>
          <w:sz w:val="22"/>
          <w:szCs w:val="22"/>
        </w:rPr>
        <w:t xml:space="preserve">kých </w:t>
      </w:r>
      <w:r w:rsidR="00A767B1">
        <w:rPr>
          <w:rFonts w:ascii="Arial" w:hAnsi="Arial" w:cs="Arial"/>
          <w:b/>
          <w:sz w:val="22"/>
          <w:szCs w:val="22"/>
        </w:rPr>
        <w:t xml:space="preserve">výběrových řízení na kmitočty </w:t>
      </w:r>
      <w:r w:rsidR="006A2653">
        <w:rPr>
          <w:rFonts w:ascii="Arial" w:hAnsi="Arial" w:cs="Arial"/>
          <w:b/>
          <w:sz w:val="22"/>
          <w:szCs w:val="22"/>
        </w:rPr>
        <w:t>v letech 2013 a 2016</w:t>
      </w:r>
      <w:r w:rsidR="00A767B1">
        <w:rPr>
          <w:rFonts w:ascii="Arial" w:hAnsi="Arial" w:cs="Arial"/>
          <w:b/>
          <w:sz w:val="22"/>
          <w:szCs w:val="22"/>
        </w:rPr>
        <w:t xml:space="preserve"> v kontextu stanovených podmínek</w:t>
      </w:r>
      <w:r w:rsidR="00260694" w:rsidRPr="00260694">
        <w:rPr>
          <w:rFonts w:ascii="Arial" w:hAnsi="Arial" w:cs="Arial"/>
          <w:b/>
          <w:sz w:val="22"/>
          <w:szCs w:val="22"/>
        </w:rPr>
        <w:t xml:space="preserve"> </w:t>
      </w:r>
      <w:r w:rsidR="00260694">
        <w:rPr>
          <w:rFonts w:ascii="Arial" w:hAnsi="Arial" w:cs="Arial"/>
          <w:b/>
          <w:sz w:val="22"/>
          <w:szCs w:val="22"/>
        </w:rPr>
        <w:t xml:space="preserve">a to </w:t>
      </w:r>
      <w:r w:rsidR="00A767B1">
        <w:rPr>
          <w:rFonts w:ascii="Arial" w:hAnsi="Arial" w:cs="Arial"/>
          <w:b/>
          <w:sz w:val="22"/>
          <w:szCs w:val="22"/>
        </w:rPr>
        <w:t xml:space="preserve">sice </w:t>
      </w:r>
      <w:r w:rsidR="006A2653">
        <w:rPr>
          <w:rFonts w:ascii="Arial" w:hAnsi="Arial" w:cs="Arial"/>
          <w:b/>
          <w:sz w:val="22"/>
          <w:szCs w:val="22"/>
        </w:rPr>
        <w:t>t</w:t>
      </w:r>
      <w:r w:rsidR="00A767B1">
        <w:rPr>
          <w:rFonts w:ascii="Arial" w:hAnsi="Arial" w:cs="Arial"/>
          <w:b/>
          <w:sz w:val="22"/>
          <w:szCs w:val="22"/>
        </w:rPr>
        <w:t>en</w:t>
      </w:r>
      <w:r w:rsidR="006A2653">
        <w:rPr>
          <w:rFonts w:ascii="Arial" w:hAnsi="Arial" w:cs="Arial"/>
          <w:b/>
          <w:sz w:val="22"/>
          <w:szCs w:val="22"/>
        </w:rPr>
        <w:t xml:space="preserve">, </w:t>
      </w:r>
      <w:r w:rsidR="00260694">
        <w:rPr>
          <w:rFonts w:ascii="Arial" w:hAnsi="Arial" w:cs="Arial"/>
          <w:b/>
          <w:sz w:val="22"/>
          <w:szCs w:val="22"/>
        </w:rPr>
        <w:t>že</w:t>
      </w:r>
      <w:r w:rsidR="00260694" w:rsidRPr="00260694">
        <w:rPr>
          <w:rFonts w:ascii="Arial" w:hAnsi="Arial" w:cs="Arial"/>
          <w:b/>
          <w:sz w:val="22"/>
          <w:szCs w:val="22"/>
        </w:rPr>
        <w:t xml:space="preserve"> </w:t>
      </w:r>
      <w:r w:rsidR="00A767B1">
        <w:rPr>
          <w:rFonts w:ascii="Arial" w:hAnsi="Arial" w:cs="Arial"/>
          <w:b/>
          <w:sz w:val="22"/>
          <w:szCs w:val="22"/>
        </w:rPr>
        <w:t xml:space="preserve">o tyto kmitočty vhodné k </w:t>
      </w:r>
      <w:r w:rsidR="00260694" w:rsidRPr="00260694">
        <w:rPr>
          <w:rFonts w:ascii="Arial" w:hAnsi="Arial" w:cs="Arial"/>
          <w:b/>
          <w:sz w:val="22"/>
          <w:szCs w:val="22"/>
        </w:rPr>
        <w:t>poskytov</w:t>
      </w:r>
      <w:r w:rsidR="006A2653">
        <w:rPr>
          <w:rFonts w:ascii="Arial" w:hAnsi="Arial" w:cs="Arial"/>
          <w:b/>
          <w:sz w:val="22"/>
          <w:szCs w:val="22"/>
        </w:rPr>
        <w:t xml:space="preserve">ání </w:t>
      </w:r>
      <w:r w:rsidR="00260694" w:rsidRPr="00260694">
        <w:rPr>
          <w:rFonts w:ascii="Arial" w:hAnsi="Arial" w:cs="Arial"/>
          <w:b/>
          <w:sz w:val="22"/>
          <w:szCs w:val="22"/>
        </w:rPr>
        <w:t>mobilních služeb</w:t>
      </w:r>
      <w:r w:rsidR="006A2653">
        <w:rPr>
          <w:rFonts w:ascii="Arial" w:hAnsi="Arial" w:cs="Arial"/>
          <w:b/>
          <w:sz w:val="22"/>
          <w:szCs w:val="22"/>
        </w:rPr>
        <w:t xml:space="preserve"> formou mobilního síťového operátora</w:t>
      </w:r>
      <w:r w:rsidR="00A767B1" w:rsidRPr="00A767B1">
        <w:rPr>
          <w:rFonts w:ascii="Arial" w:hAnsi="Arial" w:cs="Arial"/>
          <w:b/>
          <w:sz w:val="22"/>
          <w:szCs w:val="22"/>
        </w:rPr>
        <w:t xml:space="preserve"> </w:t>
      </w:r>
      <w:r w:rsidR="00A767B1">
        <w:rPr>
          <w:rFonts w:ascii="Arial" w:hAnsi="Arial" w:cs="Arial"/>
          <w:b/>
          <w:sz w:val="22"/>
          <w:szCs w:val="22"/>
        </w:rPr>
        <w:t xml:space="preserve">neprojevil zájem </w:t>
      </w:r>
      <w:r w:rsidR="00A767B1" w:rsidRPr="00260694">
        <w:rPr>
          <w:rFonts w:ascii="Arial" w:hAnsi="Arial" w:cs="Arial"/>
          <w:b/>
          <w:sz w:val="22"/>
          <w:szCs w:val="22"/>
        </w:rPr>
        <w:t xml:space="preserve">ani jeden nový </w:t>
      </w:r>
      <w:r w:rsidR="00A767B1">
        <w:rPr>
          <w:rFonts w:ascii="Arial" w:hAnsi="Arial" w:cs="Arial"/>
          <w:b/>
          <w:sz w:val="22"/>
          <w:szCs w:val="22"/>
        </w:rPr>
        <w:t>subjekt, a to přestože podmínky byly pro nové subjekty nastaveny více než příznivě</w:t>
      </w:r>
      <w:r w:rsidR="00A767B1" w:rsidRPr="00A767B1">
        <w:rPr>
          <w:rFonts w:ascii="Arial" w:hAnsi="Arial" w:cs="Arial"/>
          <w:b/>
          <w:sz w:val="22"/>
          <w:szCs w:val="22"/>
        </w:rPr>
        <w:t xml:space="preserve"> </w:t>
      </w:r>
      <w:r w:rsidR="00A767B1">
        <w:rPr>
          <w:rFonts w:ascii="Arial" w:hAnsi="Arial" w:cs="Arial"/>
          <w:b/>
          <w:sz w:val="22"/>
          <w:szCs w:val="22"/>
        </w:rPr>
        <w:t>(zvláště v případě výběrového řízení v roce 2013).</w:t>
      </w:r>
    </w:p>
    <w:p w14:paraId="2E087290" w14:textId="77777777" w:rsidR="0096736C" w:rsidRDefault="0096736C" w:rsidP="00B37E52">
      <w:pPr>
        <w:ind w:firstLine="360"/>
        <w:rPr>
          <w:rFonts w:ascii="Arial" w:hAnsi="Arial" w:cs="Arial"/>
          <w:i/>
          <w:sz w:val="22"/>
          <w:szCs w:val="22"/>
        </w:rPr>
      </w:pPr>
    </w:p>
    <w:p w14:paraId="25C25E1A" w14:textId="77777777" w:rsidR="0096736C" w:rsidRPr="0002076A" w:rsidRDefault="0096736C" w:rsidP="0096736C">
      <w:pPr>
        <w:ind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5783B13A" w14:textId="77777777" w:rsidR="0096736C" w:rsidRDefault="0096736C" w:rsidP="00B37E52">
      <w:pPr>
        <w:ind w:firstLine="360"/>
        <w:rPr>
          <w:rFonts w:ascii="Arial" w:hAnsi="Arial" w:cs="Arial"/>
          <w:i/>
          <w:sz w:val="22"/>
          <w:szCs w:val="22"/>
        </w:rPr>
      </w:pPr>
    </w:p>
    <w:p w14:paraId="2A1899B5" w14:textId="4B4BB445" w:rsidR="00307530" w:rsidRDefault="0096736C" w:rsidP="0074532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Vysoké v</w:t>
      </w:r>
      <w:r w:rsidR="0074532A">
        <w:rPr>
          <w:rFonts w:ascii="Arial" w:hAnsi="Arial" w:cs="Arial"/>
          <w:sz w:val="22"/>
          <w:szCs w:val="22"/>
        </w:rPr>
        <w:t xml:space="preserve">stupní investiční náklady jsou </w:t>
      </w:r>
      <w:r w:rsidR="006A2653">
        <w:rPr>
          <w:rFonts w:ascii="Arial" w:hAnsi="Arial" w:cs="Arial"/>
          <w:sz w:val="22"/>
          <w:szCs w:val="22"/>
        </w:rPr>
        <w:t xml:space="preserve">neodmyslitelnou </w:t>
      </w:r>
      <w:r w:rsidR="0074532A">
        <w:rPr>
          <w:rFonts w:ascii="Arial" w:hAnsi="Arial" w:cs="Arial"/>
          <w:sz w:val="22"/>
          <w:szCs w:val="22"/>
        </w:rPr>
        <w:t xml:space="preserve">součástí </w:t>
      </w:r>
      <w:r w:rsidR="00A767B1">
        <w:rPr>
          <w:rFonts w:ascii="Arial" w:hAnsi="Arial" w:cs="Arial"/>
          <w:sz w:val="22"/>
          <w:szCs w:val="22"/>
        </w:rPr>
        <w:t xml:space="preserve">každého </w:t>
      </w:r>
      <w:r w:rsidR="0074532A">
        <w:rPr>
          <w:rFonts w:ascii="Arial" w:hAnsi="Arial" w:cs="Arial"/>
          <w:sz w:val="22"/>
          <w:szCs w:val="22"/>
        </w:rPr>
        <w:t>síťového odvětví</w:t>
      </w:r>
      <w:r w:rsidR="00307530">
        <w:rPr>
          <w:rFonts w:ascii="Arial" w:hAnsi="Arial" w:cs="Arial"/>
          <w:sz w:val="22"/>
          <w:szCs w:val="22"/>
        </w:rPr>
        <w:t xml:space="preserve">, a to </w:t>
      </w:r>
      <w:r w:rsidR="00A767B1">
        <w:rPr>
          <w:rFonts w:ascii="Arial" w:hAnsi="Arial" w:cs="Arial"/>
          <w:sz w:val="22"/>
          <w:szCs w:val="22"/>
        </w:rPr>
        <w:t>a</w:t>
      </w:r>
      <w:r w:rsidR="00003231">
        <w:rPr>
          <w:rFonts w:ascii="Arial" w:hAnsi="Arial" w:cs="Arial"/>
          <w:sz w:val="22"/>
          <w:szCs w:val="22"/>
        </w:rPr>
        <w:t xml:space="preserve">ť </w:t>
      </w:r>
      <w:r w:rsidR="00307530">
        <w:rPr>
          <w:rFonts w:ascii="Arial" w:hAnsi="Arial" w:cs="Arial"/>
          <w:sz w:val="22"/>
          <w:szCs w:val="22"/>
        </w:rPr>
        <w:t xml:space="preserve">již </w:t>
      </w:r>
      <w:r w:rsidR="00003231">
        <w:rPr>
          <w:rFonts w:ascii="Arial" w:hAnsi="Arial" w:cs="Arial"/>
          <w:sz w:val="22"/>
          <w:szCs w:val="22"/>
        </w:rPr>
        <w:t>jde o plyn, vodu, elektřinu</w:t>
      </w:r>
      <w:r w:rsidR="00A767B1">
        <w:rPr>
          <w:rFonts w:ascii="Arial" w:hAnsi="Arial" w:cs="Arial"/>
          <w:sz w:val="22"/>
          <w:szCs w:val="22"/>
        </w:rPr>
        <w:t xml:space="preserve"> </w:t>
      </w:r>
      <w:r w:rsidR="00003231">
        <w:rPr>
          <w:rFonts w:ascii="Arial" w:hAnsi="Arial" w:cs="Arial"/>
          <w:sz w:val="22"/>
          <w:szCs w:val="22"/>
        </w:rPr>
        <w:t xml:space="preserve">anebo sítě </w:t>
      </w:r>
      <w:r w:rsidR="00A767B1">
        <w:rPr>
          <w:rFonts w:ascii="Arial" w:hAnsi="Arial" w:cs="Arial"/>
          <w:sz w:val="22"/>
          <w:szCs w:val="22"/>
        </w:rPr>
        <w:t xml:space="preserve">elektronických komunikací. Na druhou stranu </w:t>
      </w:r>
      <w:r w:rsidR="00003231">
        <w:rPr>
          <w:rFonts w:ascii="Arial" w:hAnsi="Arial" w:cs="Arial"/>
          <w:sz w:val="22"/>
          <w:szCs w:val="22"/>
        </w:rPr>
        <w:t xml:space="preserve">těmto vysokým vstupním investičním nákladům následně odpovídá </w:t>
      </w:r>
      <w:r w:rsidR="00A767B1">
        <w:rPr>
          <w:rFonts w:ascii="Arial" w:hAnsi="Arial" w:cs="Arial"/>
          <w:sz w:val="22"/>
          <w:szCs w:val="22"/>
        </w:rPr>
        <w:t xml:space="preserve">potenciální objem poskytovaných služeb </w:t>
      </w:r>
      <w:r w:rsidR="00003231">
        <w:rPr>
          <w:rFonts w:ascii="Arial" w:hAnsi="Arial" w:cs="Arial"/>
          <w:sz w:val="22"/>
          <w:szCs w:val="22"/>
        </w:rPr>
        <w:t xml:space="preserve">zákazníkům </w:t>
      </w:r>
      <w:r w:rsidR="00A767B1">
        <w:rPr>
          <w:rFonts w:ascii="Arial" w:hAnsi="Arial" w:cs="Arial"/>
          <w:sz w:val="22"/>
          <w:szCs w:val="22"/>
        </w:rPr>
        <w:t>a z toho plynoucích výnosů</w:t>
      </w:r>
      <w:r w:rsidR="00003231">
        <w:rPr>
          <w:rFonts w:ascii="Arial" w:hAnsi="Arial" w:cs="Arial"/>
          <w:sz w:val="22"/>
          <w:szCs w:val="22"/>
        </w:rPr>
        <w:t xml:space="preserve"> z dané formy podnikání. Toto platí celosvětově a stejně tedy pro ČR. Tvrzení ČTÚ o bariéře vysokých vstupních investičních nákladů je proto </w:t>
      </w:r>
      <w:r w:rsidR="00307530">
        <w:rPr>
          <w:rFonts w:ascii="Arial" w:hAnsi="Arial" w:cs="Arial"/>
          <w:sz w:val="22"/>
          <w:szCs w:val="22"/>
        </w:rPr>
        <w:t>navržené čistě účelově</w:t>
      </w:r>
      <w:r w:rsidR="00003231">
        <w:rPr>
          <w:rFonts w:ascii="Arial" w:hAnsi="Arial" w:cs="Arial"/>
          <w:sz w:val="22"/>
          <w:szCs w:val="22"/>
        </w:rPr>
        <w:t xml:space="preserve"> s cílem, aby </w:t>
      </w:r>
      <w:proofErr w:type="spellStart"/>
      <w:r w:rsidR="00003231">
        <w:rPr>
          <w:rFonts w:ascii="Arial" w:hAnsi="Arial" w:cs="Arial"/>
          <w:sz w:val="22"/>
          <w:szCs w:val="22"/>
        </w:rPr>
        <w:t>tříkriteriální</w:t>
      </w:r>
      <w:proofErr w:type="spellEnd"/>
      <w:r w:rsidR="00003231">
        <w:rPr>
          <w:rFonts w:ascii="Arial" w:hAnsi="Arial" w:cs="Arial"/>
          <w:sz w:val="22"/>
          <w:szCs w:val="22"/>
        </w:rPr>
        <w:t xml:space="preserve"> test vyšel </w:t>
      </w:r>
      <w:r w:rsidR="00307530">
        <w:rPr>
          <w:rFonts w:ascii="Arial" w:hAnsi="Arial" w:cs="Arial"/>
          <w:sz w:val="22"/>
          <w:szCs w:val="22"/>
        </w:rPr>
        <w:t>za každých okolností</w:t>
      </w:r>
      <w:r w:rsidR="00003231">
        <w:rPr>
          <w:rFonts w:ascii="Arial" w:hAnsi="Arial" w:cs="Arial"/>
          <w:sz w:val="22"/>
          <w:szCs w:val="22"/>
        </w:rPr>
        <w:t xml:space="preserve"> a ČTÚ tak mohl přistoupit k další fázi </w:t>
      </w:r>
      <w:r w:rsidR="00D446E4">
        <w:rPr>
          <w:rFonts w:ascii="Arial" w:hAnsi="Arial" w:cs="Arial"/>
          <w:sz w:val="22"/>
          <w:szCs w:val="22"/>
        </w:rPr>
        <w:t xml:space="preserve">a snaze nakonec </w:t>
      </w:r>
      <w:r w:rsidR="00003231">
        <w:rPr>
          <w:rFonts w:ascii="Arial" w:hAnsi="Arial" w:cs="Arial"/>
          <w:sz w:val="22"/>
          <w:szCs w:val="22"/>
        </w:rPr>
        <w:t xml:space="preserve">zavést </w:t>
      </w:r>
      <w:r w:rsidR="00D446E4">
        <w:rPr>
          <w:rFonts w:ascii="Arial" w:hAnsi="Arial" w:cs="Arial"/>
          <w:sz w:val="22"/>
          <w:szCs w:val="22"/>
        </w:rPr>
        <w:t xml:space="preserve">příslušná </w:t>
      </w:r>
      <w:r w:rsidR="00003231">
        <w:rPr>
          <w:rFonts w:ascii="Arial" w:hAnsi="Arial" w:cs="Arial"/>
          <w:sz w:val="22"/>
          <w:szCs w:val="22"/>
        </w:rPr>
        <w:t>regulační opatření.</w:t>
      </w:r>
      <w:r w:rsidR="00A767B1">
        <w:rPr>
          <w:rFonts w:ascii="Arial" w:hAnsi="Arial" w:cs="Arial"/>
          <w:sz w:val="22"/>
          <w:szCs w:val="22"/>
        </w:rPr>
        <w:t xml:space="preserve"> </w:t>
      </w:r>
      <w:r w:rsidR="00D446E4">
        <w:rPr>
          <w:rFonts w:ascii="Arial" w:hAnsi="Arial" w:cs="Arial"/>
          <w:sz w:val="22"/>
          <w:szCs w:val="22"/>
        </w:rPr>
        <w:t xml:space="preserve">Kdyby </w:t>
      </w:r>
      <w:r w:rsidR="00307530">
        <w:rPr>
          <w:rFonts w:ascii="Arial" w:hAnsi="Arial" w:cs="Arial"/>
          <w:sz w:val="22"/>
          <w:szCs w:val="22"/>
        </w:rPr>
        <w:t xml:space="preserve">však bývalo </w:t>
      </w:r>
      <w:r w:rsidR="00D446E4">
        <w:rPr>
          <w:rFonts w:ascii="Arial" w:hAnsi="Arial" w:cs="Arial"/>
          <w:sz w:val="22"/>
          <w:szCs w:val="22"/>
        </w:rPr>
        <w:t xml:space="preserve">nutné zavádět </w:t>
      </w:r>
      <w:r w:rsidR="00307530">
        <w:rPr>
          <w:rFonts w:ascii="Arial" w:hAnsi="Arial" w:cs="Arial"/>
          <w:sz w:val="22"/>
          <w:szCs w:val="22"/>
        </w:rPr>
        <w:t xml:space="preserve">jakákoliv </w:t>
      </w:r>
      <w:r w:rsidR="00D446E4">
        <w:rPr>
          <w:rFonts w:ascii="Arial" w:hAnsi="Arial" w:cs="Arial"/>
          <w:sz w:val="22"/>
          <w:szCs w:val="22"/>
        </w:rPr>
        <w:t>regulační opatření</w:t>
      </w:r>
      <w:r w:rsidR="00307530">
        <w:rPr>
          <w:rFonts w:ascii="Arial" w:hAnsi="Arial" w:cs="Arial"/>
          <w:sz w:val="22"/>
          <w:szCs w:val="22"/>
        </w:rPr>
        <w:t xml:space="preserve"> na takto vymezeném trhu</w:t>
      </w:r>
      <w:r w:rsidR="00D446E4">
        <w:rPr>
          <w:rFonts w:ascii="Arial" w:hAnsi="Arial" w:cs="Arial"/>
          <w:sz w:val="22"/>
          <w:szCs w:val="22"/>
        </w:rPr>
        <w:t xml:space="preserve">, ke kterým zřejmě chce ČTÚ směřovat, </w:t>
      </w:r>
      <w:r w:rsidR="00307530">
        <w:rPr>
          <w:rFonts w:ascii="Arial" w:hAnsi="Arial" w:cs="Arial"/>
          <w:sz w:val="22"/>
          <w:szCs w:val="22"/>
        </w:rPr>
        <w:t>právě s ohledem na samou</w:t>
      </w:r>
      <w:r w:rsidR="00D446E4">
        <w:rPr>
          <w:rFonts w:ascii="Arial" w:hAnsi="Arial" w:cs="Arial"/>
          <w:sz w:val="22"/>
          <w:szCs w:val="22"/>
        </w:rPr>
        <w:t xml:space="preserve"> pods</w:t>
      </w:r>
      <w:r w:rsidR="00307530">
        <w:rPr>
          <w:rFonts w:ascii="Arial" w:hAnsi="Arial" w:cs="Arial"/>
          <w:sz w:val="22"/>
          <w:szCs w:val="22"/>
        </w:rPr>
        <w:t xml:space="preserve">tatu podnikání založeného na provozování sítí </w:t>
      </w:r>
      <w:r w:rsidR="00D446E4">
        <w:rPr>
          <w:rFonts w:ascii="Arial" w:hAnsi="Arial" w:cs="Arial"/>
          <w:sz w:val="22"/>
          <w:szCs w:val="22"/>
        </w:rPr>
        <w:t xml:space="preserve">elektronických komunikacích tj. dopředu danou skutečností vysokých vstupních investičních nákladů, pak by tento nový </w:t>
      </w:r>
      <w:r w:rsidR="00307530">
        <w:rPr>
          <w:rFonts w:ascii="Arial" w:hAnsi="Arial" w:cs="Arial"/>
          <w:sz w:val="22"/>
          <w:szCs w:val="22"/>
        </w:rPr>
        <w:t xml:space="preserve">relevantní trh, jak jej </w:t>
      </w:r>
      <w:r w:rsidR="00770438">
        <w:rPr>
          <w:rFonts w:ascii="Arial" w:hAnsi="Arial" w:cs="Arial"/>
          <w:sz w:val="22"/>
          <w:szCs w:val="22"/>
        </w:rPr>
        <w:t xml:space="preserve">nyní </w:t>
      </w:r>
      <w:r w:rsidR="00307530">
        <w:rPr>
          <w:rFonts w:ascii="Arial" w:hAnsi="Arial" w:cs="Arial"/>
          <w:sz w:val="22"/>
          <w:szCs w:val="22"/>
        </w:rPr>
        <w:t xml:space="preserve">sám ze své vůle </w:t>
      </w:r>
      <w:r w:rsidR="00770438">
        <w:rPr>
          <w:rFonts w:ascii="Arial" w:hAnsi="Arial" w:cs="Arial"/>
          <w:sz w:val="22"/>
          <w:szCs w:val="22"/>
        </w:rPr>
        <w:t xml:space="preserve">ČTÚ </w:t>
      </w:r>
      <w:r w:rsidR="00D446E4">
        <w:rPr>
          <w:rFonts w:ascii="Arial" w:hAnsi="Arial" w:cs="Arial"/>
          <w:sz w:val="22"/>
          <w:szCs w:val="22"/>
        </w:rPr>
        <w:t>vymezil, musel nutně být minimálně obsahem</w:t>
      </w:r>
      <w:r w:rsidR="00307530">
        <w:rPr>
          <w:rFonts w:ascii="Arial" w:hAnsi="Arial" w:cs="Arial"/>
          <w:sz w:val="22"/>
          <w:szCs w:val="22"/>
        </w:rPr>
        <w:t xml:space="preserve"> Doporučení Komise jako trh, kde dochází </w:t>
      </w:r>
      <w:r w:rsidR="00770438">
        <w:rPr>
          <w:rFonts w:ascii="Arial" w:hAnsi="Arial" w:cs="Arial"/>
          <w:sz w:val="22"/>
          <w:szCs w:val="22"/>
        </w:rPr>
        <w:t xml:space="preserve">nebo může docházet </w:t>
      </w:r>
      <w:r w:rsidR="00770438">
        <w:rPr>
          <w:rFonts w:ascii="Arial" w:hAnsi="Arial" w:cs="Arial"/>
          <w:sz w:val="22"/>
          <w:szCs w:val="22"/>
        </w:rPr>
        <w:lastRenderedPageBreak/>
        <w:t xml:space="preserve">s vysokou pravděpodobností </w:t>
      </w:r>
      <w:r w:rsidR="00307530">
        <w:rPr>
          <w:rFonts w:ascii="Arial" w:hAnsi="Arial" w:cs="Arial"/>
          <w:sz w:val="22"/>
          <w:szCs w:val="22"/>
        </w:rPr>
        <w:t>k</w:t>
      </w:r>
      <w:r w:rsidR="00770438">
        <w:rPr>
          <w:rFonts w:ascii="Arial" w:hAnsi="Arial" w:cs="Arial"/>
          <w:sz w:val="22"/>
          <w:szCs w:val="22"/>
        </w:rPr>
        <w:t xml:space="preserve"> tržnímu </w:t>
      </w:r>
      <w:r w:rsidR="00307530">
        <w:rPr>
          <w:rFonts w:ascii="Arial" w:hAnsi="Arial" w:cs="Arial"/>
          <w:sz w:val="22"/>
          <w:szCs w:val="22"/>
        </w:rPr>
        <w:t>selhání a je nutn</w:t>
      </w:r>
      <w:r w:rsidR="00770438">
        <w:rPr>
          <w:rFonts w:ascii="Arial" w:hAnsi="Arial" w:cs="Arial"/>
          <w:sz w:val="22"/>
          <w:szCs w:val="22"/>
        </w:rPr>
        <w:t>é provedení</w:t>
      </w:r>
      <w:r w:rsidR="00307530">
        <w:rPr>
          <w:rFonts w:ascii="Arial" w:hAnsi="Arial" w:cs="Arial"/>
          <w:sz w:val="22"/>
          <w:szCs w:val="22"/>
        </w:rPr>
        <w:t xml:space="preserve"> analýz</w:t>
      </w:r>
      <w:r w:rsidR="00770438">
        <w:rPr>
          <w:rFonts w:ascii="Arial" w:hAnsi="Arial" w:cs="Arial"/>
          <w:sz w:val="22"/>
          <w:szCs w:val="22"/>
        </w:rPr>
        <w:t>y</w:t>
      </w:r>
      <w:r w:rsidR="00307530">
        <w:rPr>
          <w:rFonts w:ascii="Arial" w:hAnsi="Arial" w:cs="Arial"/>
          <w:sz w:val="22"/>
          <w:szCs w:val="22"/>
        </w:rPr>
        <w:t xml:space="preserve"> a </w:t>
      </w:r>
      <w:r w:rsidR="00770438">
        <w:rPr>
          <w:rFonts w:ascii="Arial" w:hAnsi="Arial" w:cs="Arial"/>
          <w:sz w:val="22"/>
          <w:szCs w:val="22"/>
        </w:rPr>
        <w:t xml:space="preserve">následně </w:t>
      </w:r>
      <w:r w:rsidR="00307530">
        <w:rPr>
          <w:rFonts w:ascii="Arial" w:hAnsi="Arial" w:cs="Arial"/>
          <w:sz w:val="22"/>
          <w:szCs w:val="22"/>
        </w:rPr>
        <w:t>přijetí nápravných regulačních opatření</w:t>
      </w:r>
      <w:r w:rsidR="00770438">
        <w:rPr>
          <w:rFonts w:ascii="Arial" w:hAnsi="Arial" w:cs="Arial"/>
          <w:sz w:val="22"/>
          <w:szCs w:val="22"/>
        </w:rPr>
        <w:t xml:space="preserve"> ex ante</w:t>
      </w:r>
      <w:r w:rsidR="00307530">
        <w:rPr>
          <w:rFonts w:ascii="Arial" w:hAnsi="Arial" w:cs="Arial"/>
          <w:sz w:val="22"/>
          <w:szCs w:val="22"/>
        </w:rPr>
        <w:t xml:space="preserve">. Jak je již uvedeno výše, ve skutečnosti tomu tak </w:t>
      </w:r>
      <w:r w:rsidR="00770438">
        <w:rPr>
          <w:rFonts w:ascii="Arial" w:hAnsi="Arial" w:cs="Arial"/>
          <w:sz w:val="22"/>
          <w:szCs w:val="22"/>
        </w:rPr>
        <w:t xml:space="preserve">samozřejmě </w:t>
      </w:r>
      <w:r w:rsidR="00307530">
        <w:rPr>
          <w:rFonts w:ascii="Arial" w:hAnsi="Arial" w:cs="Arial"/>
          <w:sz w:val="22"/>
          <w:szCs w:val="22"/>
        </w:rPr>
        <w:t xml:space="preserve">není a tento trh není obsahem Doporučení Komise k uvalení regulačních opatření a není obsahem ani jiných </w:t>
      </w:r>
      <w:r w:rsidR="002624B8">
        <w:rPr>
          <w:rFonts w:ascii="Arial" w:hAnsi="Arial" w:cs="Arial"/>
          <w:sz w:val="22"/>
          <w:szCs w:val="22"/>
        </w:rPr>
        <w:t>regulačních opatření např. formou Nařízení ze strany Komise.</w:t>
      </w:r>
    </w:p>
    <w:p w14:paraId="420CEF9C" w14:textId="77777777" w:rsidR="00307530" w:rsidRDefault="00307530" w:rsidP="0074532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7EEEF4A" w14:textId="382E6F7E" w:rsidR="00B37E52" w:rsidRDefault="002624B8" w:rsidP="0074532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32A">
        <w:rPr>
          <w:rFonts w:ascii="Arial" w:hAnsi="Arial" w:cs="Arial"/>
          <w:sz w:val="22"/>
          <w:szCs w:val="22"/>
        </w:rPr>
        <w:t xml:space="preserve">okud by na tuzemském mobilním trhu nefungovala efektivní konkurence, využil by nový investor </w:t>
      </w:r>
      <w:r>
        <w:rPr>
          <w:rFonts w:ascii="Arial" w:hAnsi="Arial" w:cs="Arial"/>
          <w:sz w:val="22"/>
          <w:szCs w:val="22"/>
        </w:rPr>
        <w:t xml:space="preserve">výběrových řízení na </w:t>
      </w:r>
      <w:r w:rsidR="0074532A">
        <w:rPr>
          <w:rFonts w:ascii="Arial" w:hAnsi="Arial" w:cs="Arial"/>
          <w:sz w:val="22"/>
          <w:szCs w:val="22"/>
        </w:rPr>
        <w:t>rádiov</w:t>
      </w:r>
      <w:r>
        <w:rPr>
          <w:rFonts w:ascii="Arial" w:hAnsi="Arial" w:cs="Arial"/>
          <w:sz w:val="22"/>
          <w:szCs w:val="22"/>
        </w:rPr>
        <w:t>é</w:t>
      </w:r>
      <w:r w:rsidR="0074532A">
        <w:rPr>
          <w:rFonts w:ascii="Arial" w:hAnsi="Arial" w:cs="Arial"/>
          <w:sz w:val="22"/>
          <w:szCs w:val="22"/>
        </w:rPr>
        <w:t xml:space="preserve"> kmitočt</w:t>
      </w:r>
      <w:r>
        <w:rPr>
          <w:rFonts w:ascii="Arial" w:hAnsi="Arial" w:cs="Arial"/>
          <w:sz w:val="22"/>
          <w:szCs w:val="22"/>
        </w:rPr>
        <w:t>y</w:t>
      </w:r>
      <w:r w:rsidR="0074532A">
        <w:rPr>
          <w:rFonts w:ascii="Arial" w:hAnsi="Arial" w:cs="Arial"/>
          <w:sz w:val="22"/>
          <w:szCs w:val="22"/>
        </w:rPr>
        <w:t xml:space="preserve"> v roce 2013 a 2016, což se</w:t>
      </w:r>
      <w:r w:rsidR="006A2653">
        <w:rPr>
          <w:rFonts w:ascii="Arial" w:hAnsi="Arial" w:cs="Arial"/>
          <w:sz w:val="22"/>
          <w:szCs w:val="22"/>
        </w:rPr>
        <w:t xml:space="preserve"> nestalo ani p</w:t>
      </w:r>
      <w:r w:rsidR="00260694">
        <w:rPr>
          <w:rFonts w:ascii="Arial" w:hAnsi="Arial" w:cs="Arial"/>
          <w:sz w:val="22"/>
          <w:szCs w:val="22"/>
        </w:rPr>
        <w:t xml:space="preserve">řes </w:t>
      </w:r>
      <w:r w:rsidR="00F4511F">
        <w:rPr>
          <w:rFonts w:ascii="Arial" w:hAnsi="Arial" w:cs="Arial"/>
          <w:sz w:val="22"/>
          <w:szCs w:val="22"/>
        </w:rPr>
        <w:t xml:space="preserve">ČTÚ </w:t>
      </w:r>
      <w:r w:rsidR="006A2653">
        <w:rPr>
          <w:rFonts w:ascii="Arial" w:hAnsi="Arial" w:cs="Arial"/>
          <w:sz w:val="22"/>
          <w:szCs w:val="22"/>
        </w:rPr>
        <w:t xml:space="preserve">uměle vytvořené </w:t>
      </w:r>
      <w:r>
        <w:rPr>
          <w:rFonts w:ascii="Arial" w:hAnsi="Arial" w:cs="Arial"/>
          <w:sz w:val="22"/>
          <w:szCs w:val="22"/>
        </w:rPr>
        <w:t xml:space="preserve">velmi </w:t>
      </w:r>
      <w:r w:rsidR="006A2653">
        <w:rPr>
          <w:rFonts w:ascii="Arial" w:hAnsi="Arial" w:cs="Arial"/>
          <w:sz w:val="22"/>
          <w:szCs w:val="22"/>
        </w:rPr>
        <w:t xml:space="preserve">příznivé podmínky právě pro případného </w:t>
      </w:r>
      <w:r w:rsidR="00260694" w:rsidRPr="00260694">
        <w:rPr>
          <w:rFonts w:ascii="Arial" w:hAnsi="Arial" w:cs="Arial"/>
          <w:sz w:val="22"/>
          <w:szCs w:val="22"/>
        </w:rPr>
        <w:t xml:space="preserve">nového </w:t>
      </w:r>
      <w:r w:rsidR="006A2653">
        <w:rPr>
          <w:rFonts w:ascii="Arial" w:hAnsi="Arial" w:cs="Arial"/>
          <w:sz w:val="22"/>
          <w:szCs w:val="22"/>
        </w:rPr>
        <w:t>mobilního síťového operátora</w:t>
      </w:r>
      <w:r w:rsidR="0074532A">
        <w:rPr>
          <w:rFonts w:ascii="Arial" w:hAnsi="Arial" w:cs="Arial"/>
          <w:sz w:val="22"/>
          <w:szCs w:val="22"/>
        </w:rPr>
        <w:t>. T</w:t>
      </w:r>
      <w:r>
        <w:rPr>
          <w:rFonts w:ascii="Arial" w:hAnsi="Arial" w:cs="Arial"/>
          <w:sz w:val="22"/>
          <w:szCs w:val="22"/>
        </w:rPr>
        <w:t>at</w:t>
      </w:r>
      <w:r w:rsidR="0074532A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skutečnost </w:t>
      </w:r>
      <w:r w:rsidR="00B10734">
        <w:rPr>
          <w:rFonts w:ascii="Arial" w:hAnsi="Arial" w:cs="Arial"/>
          <w:sz w:val="22"/>
          <w:szCs w:val="22"/>
        </w:rPr>
        <w:t xml:space="preserve">zcela </w:t>
      </w:r>
      <w:r>
        <w:rPr>
          <w:rFonts w:ascii="Arial" w:hAnsi="Arial" w:cs="Arial"/>
          <w:sz w:val="22"/>
          <w:szCs w:val="22"/>
        </w:rPr>
        <w:t xml:space="preserve">jasně </w:t>
      </w:r>
      <w:r w:rsidR="0074532A">
        <w:rPr>
          <w:rFonts w:ascii="Arial" w:hAnsi="Arial" w:cs="Arial"/>
          <w:sz w:val="22"/>
          <w:szCs w:val="22"/>
        </w:rPr>
        <w:t xml:space="preserve">vypovídá o tom, že </w:t>
      </w:r>
      <w:r w:rsidR="00D0113D">
        <w:rPr>
          <w:rFonts w:ascii="Arial" w:hAnsi="Arial" w:cs="Arial"/>
          <w:sz w:val="22"/>
          <w:szCs w:val="22"/>
        </w:rPr>
        <w:t xml:space="preserve">na trhu probíhá </w:t>
      </w:r>
      <w:r w:rsidR="00AE173F">
        <w:rPr>
          <w:rFonts w:ascii="Arial" w:hAnsi="Arial" w:cs="Arial"/>
          <w:sz w:val="22"/>
          <w:szCs w:val="22"/>
        </w:rPr>
        <w:t xml:space="preserve">efektivní celoplošná </w:t>
      </w:r>
      <w:r w:rsidR="00B136D8">
        <w:rPr>
          <w:rFonts w:ascii="Arial" w:hAnsi="Arial" w:cs="Arial"/>
          <w:sz w:val="22"/>
          <w:szCs w:val="22"/>
        </w:rPr>
        <w:t xml:space="preserve">soutěž </w:t>
      </w:r>
      <w:r w:rsidR="0074532A">
        <w:rPr>
          <w:rFonts w:ascii="Arial" w:hAnsi="Arial" w:cs="Arial"/>
          <w:sz w:val="22"/>
          <w:szCs w:val="22"/>
        </w:rPr>
        <w:t xml:space="preserve">a současní </w:t>
      </w:r>
      <w:r w:rsidR="00B10734">
        <w:rPr>
          <w:rFonts w:ascii="Arial" w:hAnsi="Arial" w:cs="Arial"/>
          <w:sz w:val="22"/>
          <w:szCs w:val="22"/>
        </w:rPr>
        <w:t xml:space="preserve">mobilní </w:t>
      </w:r>
      <w:r w:rsidR="0074532A">
        <w:rPr>
          <w:rFonts w:ascii="Arial" w:hAnsi="Arial" w:cs="Arial"/>
          <w:sz w:val="22"/>
          <w:szCs w:val="22"/>
        </w:rPr>
        <w:t>operátoři nedosahují nadměrného zisku</w:t>
      </w:r>
      <w:r w:rsidR="0096736C">
        <w:rPr>
          <w:rFonts w:ascii="Arial" w:hAnsi="Arial" w:cs="Arial"/>
          <w:sz w:val="22"/>
          <w:szCs w:val="22"/>
        </w:rPr>
        <w:t xml:space="preserve">, který by </w:t>
      </w:r>
      <w:r w:rsidR="006A2653">
        <w:rPr>
          <w:rFonts w:ascii="Arial" w:hAnsi="Arial" w:cs="Arial"/>
          <w:sz w:val="22"/>
          <w:szCs w:val="22"/>
        </w:rPr>
        <w:t xml:space="preserve">nevyhnutelně </w:t>
      </w:r>
      <w:r w:rsidR="00B10734">
        <w:rPr>
          <w:rFonts w:ascii="Arial" w:hAnsi="Arial" w:cs="Arial"/>
          <w:sz w:val="22"/>
          <w:szCs w:val="22"/>
        </w:rPr>
        <w:t xml:space="preserve">musel </w:t>
      </w:r>
      <w:r w:rsidR="006A2653">
        <w:rPr>
          <w:rFonts w:ascii="Arial" w:hAnsi="Arial" w:cs="Arial"/>
          <w:sz w:val="22"/>
          <w:szCs w:val="22"/>
        </w:rPr>
        <w:t>zapříči</w:t>
      </w:r>
      <w:r w:rsidR="00B10734">
        <w:rPr>
          <w:rFonts w:ascii="Arial" w:hAnsi="Arial" w:cs="Arial"/>
          <w:sz w:val="22"/>
          <w:szCs w:val="22"/>
        </w:rPr>
        <w:t xml:space="preserve">nit </w:t>
      </w:r>
      <w:r w:rsidR="006A2653">
        <w:rPr>
          <w:rFonts w:ascii="Arial" w:hAnsi="Arial" w:cs="Arial"/>
          <w:sz w:val="22"/>
          <w:szCs w:val="22"/>
        </w:rPr>
        <w:t>vstup nového zájemce do výše uvedených výběrových řízení</w:t>
      </w:r>
      <w:r w:rsidR="00B10734">
        <w:rPr>
          <w:rFonts w:ascii="Arial" w:hAnsi="Arial" w:cs="Arial"/>
          <w:sz w:val="22"/>
          <w:szCs w:val="22"/>
        </w:rPr>
        <w:t xml:space="preserve"> s cílem tyto jejich nadměrné zisky odčerpat</w:t>
      </w:r>
      <w:r w:rsidR="00770438">
        <w:rPr>
          <w:rFonts w:ascii="Arial" w:hAnsi="Arial" w:cs="Arial"/>
          <w:sz w:val="22"/>
          <w:szCs w:val="22"/>
        </w:rPr>
        <w:t xml:space="preserve"> ve svůj prospěch</w:t>
      </w:r>
      <w:r w:rsidR="0096736C">
        <w:rPr>
          <w:rFonts w:ascii="Arial" w:hAnsi="Arial" w:cs="Arial"/>
          <w:sz w:val="22"/>
          <w:szCs w:val="22"/>
        </w:rPr>
        <w:t>.</w:t>
      </w:r>
      <w:r w:rsidR="00523853">
        <w:rPr>
          <w:rFonts w:ascii="Arial" w:hAnsi="Arial" w:cs="Arial"/>
          <w:sz w:val="22"/>
          <w:szCs w:val="22"/>
        </w:rPr>
        <w:t xml:space="preserve"> </w:t>
      </w:r>
      <w:r w:rsidR="00B10734">
        <w:rPr>
          <w:rFonts w:ascii="Arial" w:hAnsi="Arial" w:cs="Arial"/>
          <w:sz w:val="22"/>
          <w:szCs w:val="22"/>
        </w:rPr>
        <w:t>Místo toho v</w:t>
      </w:r>
      <w:r w:rsidR="00523853">
        <w:rPr>
          <w:rFonts w:ascii="Arial" w:hAnsi="Arial" w:cs="Arial"/>
          <w:sz w:val="22"/>
          <w:szCs w:val="22"/>
        </w:rPr>
        <w:t xml:space="preserve">stup </w:t>
      </w:r>
      <w:r w:rsidR="00B10734">
        <w:rPr>
          <w:rFonts w:ascii="Arial" w:hAnsi="Arial" w:cs="Arial"/>
          <w:sz w:val="22"/>
          <w:szCs w:val="22"/>
        </w:rPr>
        <w:t xml:space="preserve">další </w:t>
      </w:r>
      <w:r w:rsidR="00523853">
        <w:rPr>
          <w:rFonts w:ascii="Arial" w:hAnsi="Arial" w:cs="Arial"/>
          <w:sz w:val="22"/>
          <w:szCs w:val="22"/>
        </w:rPr>
        <w:t xml:space="preserve">konkurence </w:t>
      </w:r>
      <w:r w:rsidR="006A2653">
        <w:rPr>
          <w:rFonts w:ascii="Arial" w:hAnsi="Arial" w:cs="Arial"/>
          <w:sz w:val="22"/>
          <w:szCs w:val="22"/>
        </w:rPr>
        <w:t xml:space="preserve">na tuzemský trh </w:t>
      </w:r>
      <w:r w:rsidR="00523853">
        <w:rPr>
          <w:rFonts w:ascii="Arial" w:hAnsi="Arial" w:cs="Arial"/>
          <w:sz w:val="22"/>
          <w:szCs w:val="22"/>
        </w:rPr>
        <w:t xml:space="preserve">probíhá </w:t>
      </w:r>
      <w:r w:rsidR="00AE173F">
        <w:rPr>
          <w:rFonts w:ascii="Arial" w:hAnsi="Arial" w:cs="Arial"/>
          <w:sz w:val="22"/>
          <w:szCs w:val="22"/>
        </w:rPr>
        <w:t xml:space="preserve">jen </w:t>
      </w:r>
      <w:r w:rsidR="00523853">
        <w:rPr>
          <w:rFonts w:ascii="Arial" w:hAnsi="Arial" w:cs="Arial"/>
          <w:sz w:val="22"/>
          <w:szCs w:val="22"/>
        </w:rPr>
        <w:t>formo</w:t>
      </w:r>
      <w:r w:rsidR="00AE173F">
        <w:rPr>
          <w:rFonts w:ascii="Arial" w:hAnsi="Arial" w:cs="Arial"/>
          <w:sz w:val="22"/>
          <w:szCs w:val="22"/>
        </w:rPr>
        <w:t>u subjektů typu MVNO zaměřených na specifické menší tržní segmenty</w:t>
      </w:r>
      <w:r w:rsidR="00523853">
        <w:rPr>
          <w:rFonts w:ascii="Arial" w:hAnsi="Arial" w:cs="Arial"/>
          <w:sz w:val="22"/>
          <w:szCs w:val="22"/>
        </w:rPr>
        <w:t>, což je podle výše uvedeného tržního chování investorů dostatečné</w:t>
      </w:r>
      <w:r w:rsidR="006A2653">
        <w:rPr>
          <w:rFonts w:ascii="Arial" w:hAnsi="Arial" w:cs="Arial"/>
          <w:sz w:val="22"/>
          <w:szCs w:val="22"/>
        </w:rPr>
        <w:t xml:space="preserve"> a na vstup nového mobilního síťového operátora není z pohledu investorů na tuzemském trhu prostor</w:t>
      </w:r>
      <w:r w:rsidR="00AE173F">
        <w:rPr>
          <w:rFonts w:ascii="Arial" w:hAnsi="Arial" w:cs="Arial"/>
          <w:sz w:val="22"/>
          <w:szCs w:val="22"/>
        </w:rPr>
        <w:t>, protože jejich obchodní modely v tomto případě již nevycházejí  - potenciální odčerpané výnosy a zisky od stávajících mobilních operátorů (na trhu již není příliš prostor pro tvorbu zcela nových zákazníků</w:t>
      </w:r>
      <w:r w:rsidR="00770438">
        <w:rPr>
          <w:rFonts w:ascii="Arial" w:hAnsi="Arial" w:cs="Arial"/>
          <w:sz w:val="22"/>
          <w:szCs w:val="22"/>
        </w:rPr>
        <w:t xml:space="preserve"> a dochází jen víceméně k přetahování o stávající zákazníky</w:t>
      </w:r>
      <w:r w:rsidR="00AE173F">
        <w:rPr>
          <w:rFonts w:ascii="Arial" w:hAnsi="Arial" w:cs="Arial"/>
          <w:sz w:val="22"/>
          <w:szCs w:val="22"/>
        </w:rPr>
        <w:t xml:space="preserve">) by nedokázaly pokrýt investice </w:t>
      </w:r>
      <w:r w:rsidR="00A81D3D">
        <w:rPr>
          <w:rFonts w:ascii="Arial" w:hAnsi="Arial" w:cs="Arial"/>
          <w:sz w:val="22"/>
          <w:szCs w:val="22"/>
        </w:rPr>
        <w:t xml:space="preserve">spojené </w:t>
      </w:r>
      <w:r w:rsidR="00AE173F">
        <w:rPr>
          <w:rFonts w:ascii="Arial" w:hAnsi="Arial" w:cs="Arial"/>
          <w:sz w:val="22"/>
          <w:szCs w:val="22"/>
        </w:rPr>
        <w:t xml:space="preserve">se vstupem na trh </w:t>
      </w:r>
      <w:r w:rsidR="00A81D3D">
        <w:rPr>
          <w:rFonts w:ascii="Arial" w:hAnsi="Arial" w:cs="Arial"/>
          <w:sz w:val="22"/>
          <w:szCs w:val="22"/>
        </w:rPr>
        <w:t>a nutným dalším rozvojem.</w:t>
      </w:r>
      <w:r w:rsidR="00B136D8">
        <w:rPr>
          <w:rFonts w:ascii="Arial" w:hAnsi="Arial" w:cs="Arial"/>
          <w:sz w:val="22"/>
          <w:szCs w:val="22"/>
        </w:rPr>
        <w:t xml:space="preserve"> A to </w:t>
      </w:r>
      <w:r w:rsidR="00E02499">
        <w:rPr>
          <w:rFonts w:ascii="Arial" w:hAnsi="Arial" w:cs="Arial"/>
          <w:sz w:val="22"/>
          <w:szCs w:val="22"/>
        </w:rPr>
        <w:t>an</w:t>
      </w:r>
      <w:r w:rsidR="00B136D8">
        <w:rPr>
          <w:rFonts w:ascii="Arial" w:hAnsi="Arial" w:cs="Arial"/>
          <w:sz w:val="22"/>
          <w:szCs w:val="22"/>
        </w:rPr>
        <w:t>i přesto, že případnému novému zájemci ČTÚ vytvořil komerčně exkluzivní podmínky v podobě levného vyhrazeného spektra a možnosti v čase odložit a rozložit počáteční investici do síťových nákladů díky povinné nabídce velkoobchodních služeb a národního roamingu uvalené na stávající operátory.</w:t>
      </w:r>
    </w:p>
    <w:p w14:paraId="4F832FA3" w14:textId="77777777" w:rsidR="00172892" w:rsidRDefault="00172892" w:rsidP="0074532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6C7673D" w14:textId="064E4E22" w:rsidR="00172892" w:rsidRDefault="00A81D3D" w:rsidP="0074532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dokumentu rovněž postrádáme s tím spojenou skutečnost, že p</w:t>
      </w:r>
      <w:r w:rsidR="00172892">
        <w:rPr>
          <w:rFonts w:ascii="Arial" w:hAnsi="Arial" w:cs="Arial"/>
          <w:sz w:val="22"/>
          <w:szCs w:val="22"/>
        </w:rPr>
        <w:t>řevládajícím světovým trendem na </w:t>
      </w:r>
      <w:r w:rsidR="00C36FF6">
        <w:rPr>
          <w:rFonts w:ascii="Arial" w:hAnsi="Arial" w:cs="Arial"/>
          <w:sz w:val="22"/>
          <w:szCs w:val="22"/>
        </w:rPr>
        <w:t xml:space="preserve">národních </w:t>
      </w:r>
      <w:r w:rsidR="00172892">
        <w:rPr>
          <w:rFonts w:ascii="Arial" w:hAnsi="Arial" w:cs="Arial"/>
          <w:sz w:val="22"/>
          <w:szCs w:val="22"/>
        </w:rPr>
        <w:t>telekomunikační</w:t>
      </w:r>
      <w:r w:rsidR="00C36FF6">
        <w:rPr>
          <w:rFonts w:ascii="Arial" w:hAnsi="Arial" w:cs="Arial"/>
          <w:sz w:val="22"/>
          <w:szCs w:val="22"/>
        </w:rPr>
        <w:t>ch</w:t>
      </w:r>
      <w:r w:rsidR="00172892">
        <w:rPr>
          <w:rFonts w:ascii="Arial" w:hAnsi="Arial" w:cs="Arial"/>
          <w:sz w:val="22"/>
          <w:szCs w:val="22"/>
        </w:rPr>
        <w:t xml:space="preserve"> tr</w:t>
      </w:r>
      <w:r w:rsidR="00C36FF6">
        <w:rPr>
          <w:rFonts w:ascii="Arial" w:hAnsi="Arial" w:cs="Arial"/>
          <w:sz w:val="22"/>
          <w:szCs w:val="22"/>
        </w:rPr>
        <w:t>zích</w:t>
      </w:r>
      <w:r w:rsidR="00172892">
        <w:rPr>
          <w:rFonts w:ascii="Arial" w:hAnsi="Arial" w:cs="Arial"/>
          <w:sz w:val="22"/>
          <w:szCs w:val="22"/>
        </w:rPr>
        <w:t xml:space="preserve"> je spíše f</w:t>
      </w:r>
      <w:r w:rsidR="00C36FF6">
        <w:rPr>
          <w:rFonts w:ascii="Arial" w:hAnsi="Arial" w:cs="Arial"/>
          <w:sz w:val="22"/>
          <w:szCs w:val="22"/>
        </w:rPr>
        <w:t>úzování</w:t>
      </w:r>
      <w:r w:rsidR="001728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stávajících operátorů, kdy počet velkých celonárodních síťových operátorů klesá </w:t>
      </w:r>
      <w:r w:rsidR="00172892">
        <w:rPr>
          <w:rFonts w:ascii="Arial" w:hAnsi="Arial" w:cs="Arial"/>
          <w:sz w:val="22"/>
          <w:szCs w:val="22"/>
        </w:rPr>
        <w:t xml:space="preserve">a </w:t>
      </w:r>
      <w:r w:rsidR="00E02499" w:rsidRPr="00E37504">
        <w:rPr>
          <w:rFonts w:ascii="Arial" w:hAnsi="Arial" w:cs="Arial"/>
          <w:b/>
          <w:sz w:val="22"/>
          <w:szCs w:val="22"/>
          <w:u w:val="single"/>
        </w:rPr>
        <w:t>nedochází</w:t>
      </w:r>
      <w:r w:rsidR="00E02499">
        <w:rPr>
          <w:rFonts w:ascii="Arial" w:hAnsi="Arial" w:cs="Arial"/>
          <w:sz w:val="22"/>
          <w:szCs w:val="22"/>
        </w:rPr>
        <w:t xml:space="preserve"> tudíž k opačné situaci</w:t>
      </w:r>
      <w:r>
        <w:rPr>
          <w:rFonts w:ascii="Arial" w:hAnsi="Arial" w:cs="Arial"/>
          <w:sz w:val="22"/>
          <w:szCs w:val="22"/>
        </w:rPr>
        <w:t xml:space="preserve"> </w:t>
      </w:r>
      <w:r w:rsidR="00E02499">
        <w:rPr>
          <w:rFonts w:ascii="Arial" w:hAnsi="Arial" w:cs="Arial"/>
          <w:sz w:val="22"/>
          <w:szCs w:val="22"/>
        </w:rPr>
        <w:t>ve formě postupné</w:t>
      </w:r>
      <w:r>
        <w:rPr>
          <w:rFonts w:ascii="Arial" w:hAnsi="Arial" w:cs="Arial"/>
          <w:sz w:val="22"/>
          <w:szCs w:val="22"/>
        </w:rPr>
        <w:t xml:space="preserve"> </w:t>
      </w:r>
      <w:r w:rsidR="00172892">
        <w:rPr>
          <w:rFonts w:ascii="Arial" w:hAnsi="Arial" w:cs="Arial"/>
          <w:sz w:val="22"/>
          <w:szCs w:val="22"/>
        </w:rPr>
        <w:t>fragmentace trhu</w:t>
      </w:r>
      <w:r>
        <w:rPr>
          <w:rFonts w:ascii="Arial" w:hAnsi="Arial" w:cs="Arial"/>
          <w:sz w:val="22"/>
          <w:szCs w:val="22"/>
        </w:rPr>
        <w:t xml:space="preserve"> mezi více operátorů</w:t>
      </w:r>
      <w:r w:rsidR="00172892">
        <w:rPr>
          <w:rFonts w:ascii="Arial" w:hAnsi="Arial" w:cs="Arial"/>
          <w:sz w:val="22"/>
          <w:szCs w:val="22"/>
        </w:rPr>
        <w:t>, která přináší vyšší náklady z důvodu neexistence efektu úspor z</w:t>
      </w:r>
      <w:r w:rsidR="00D13949">
        <w:rPr>
          <w:rFonts w:ascii="Arial" w:hAnsi="Arial" w:cs="Arial"/>
          <w:sz w:val="22"/>
          <w:szCs w:val="22"/>
        </w:rPr>
        <w:t> </w:t>
      </w:r>
      <w:r w:rsidR="00C36FF6">
        <w:rPr>
          <w:rFonts w:ascii="Arial" w:hAnsi="Arial" w:cs="Arial"/>
          <w:sz w:val="22"/>
          <w:szCs w:val="22"/>
        </w:rPr>
        <w:t>rozsahu</w:t>
      </w:r>
      <w:r w:rsidR="00D13949">
        <w:rPr>
          <w:rFonts w:ascii="Arial" w:hAnsi="Arial" w:cs="Arial"/>
          <w:sz w:val="22"/>
          <w:szCs w:val="22"/>
        </w:rPr>
        <w:t xml:space="preserve"> a nemožnost jejich regulérního pokrytí v důsledku neustál</w:t>
      </w:r>
      <w:r w:rsidR="00770438">
        <w:rPr>
          <w:rFonts w:ascii="Arial" w:hAnsi="Arial" w:cs="Arial"/>
          <w:sz w:val="22"/>
          <w:szCs w:val="22"/>
        </w:rPr>
        <w:t>ého</w:t>
      </w:r>
      <w:r w:rsidR="00D13949">
        <w:rPr>
          <w:rFonts w:ascii="Arial" w:hAnsi="Arial" w:cs="Arial"/>
          <w:sz w:val="22"/>
          <w:szCs w:val="22"/>
        </w:rPr>
        <w:t xml:space="preserve"> rozt</w:t>
      </w:r>
      <w:r w:rsidR="00770438">
        <w:rPr>
          <w:rFonts w:ascii="Arial" w:hAnsi="Arial" w:cs="Arial"/>
          <w:sz w:val="22"/>
          <w:szCs w:val="22"/>
        </w:rPr>
        <w:t>á</w:t>
      </w:r>
      <w:r w:rsidR="00D13949">
        <w:rPr>
          <w:rFonts w:ascii="Arial" w:hAnsi="Arial" w:cs="Arial"/>
          <w:sz w:val="22"/>
          <w:szCs w:val="22"/>
        </w:rPr>
        <w:t>čen</w:t>
      </w:r>
      <w:r w:rsidR="00770438">
        <w:rPr>
          <w:rFonts w:ascii="Arial" w:hAnsi="Arial" w:cs="Arial"/>
          <w:sz w:val="22"/>
          <w:szCs w:val="22"/>
        </w:rPr>
        <w:t>í dalších</w:t>
      </w:r>
      <w:r w:rsidR="00D13949">
        <w:rPr>
          <w:rFonts w:ascii="Arial" w:hAnsi="Arial" w:cs="Arial"/>
          <w:sz w:val="22"/>
          <w:szCs w:val="22"/>
        </w:rPr>
        <w:t xml:space="preserve"> cenových spirál</w:t>
      </w:r>
      <w:r w:rsidR="00C36FF6">
        <w:rPr>
          <w:rFonts w:ascii="Arial" w:hAnsi="Arial" w:cs="Arial"/>
          <w:sz w:val="22"/>
          <w:szCs w:val="22"/>
        </w:rPr>
        <w:t>.</w:t>
      </w:r>
      <w:r w:rsidR="00AC6D67">
        <w:rPr>
          <w:rFonts w:ascii="Arial" w:hAnsi="Arial" w:cs="Arial"/>
          <w:sz w:val="22"/>
          <w:szCs w:val="22"/>
        </w:rPr>
        <w:t xml:space="preserve"> </w:t>
      </w:r>
    </w:p>
    <w:p w14:paraId="28C50640" w14:textId="77777777" w:rsidR="00772088" w:rsidRDefault="00772088" w:rsidP="0055670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5287E18" w14:textId="77777777" w:rsidR="00015FD4" w:rsidRDefault="00015FD4" w:rsidP="0055670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298D9BCB" w14:textId="30840245" w:rsidR="00772088" w:rsidRDefault="00772088" w:rsidP="00F74723">
      <w:pPr>
        <w:pStyle w:val="Nadpis2"/>
      </w:pPr>
      <w:r w:rsidRPr="00772088">
        <w:t xml:space="preserve">Důkladnější vysvětlení analýzy </w:t>
      </w:r>
      <w:proofErr w:type="spellStart"/>
      <w:r w:rsidRPr="00772088">
        <w:t>replikovatelnosti</w:t>
      </w:r>
      <w:proofErr w:type="spellEnd"/>
      <w:r>
        <w:t xml:space="preserve"> maloobchodních služeb</w:t>
      </w:r>
      <w:r w:rsidR="004F2CEF">
        <w:t xml:space="preserve"> – str. 34</w:t>
      </w:r>
    </w:p>
    <w:p w14:paraId="4E982E46" w14:textId="77777777" w:rsidR="00772088" w:rsidRDefault="00772088" w:rsidP="00772088">
      <w:pPr>
        <w:jc w:val="both"/>
        <w:rPr>
          <w:rFonts w:ascii="Arial" w:hAnsi="Arial" w:cs="Arial"/>
          <w:b/>
        </w:rPr>
      </w:pPr>
    </w:p>
    <w:p w14:paraId="12980CE3" w14:textId="77777777" w:rsidR="00772088" w:rsidRPr="00E6618D" w:rsidRDefault="00772088" w:rsidP="00772088">
      <w:pPr>
        <w:ind w:firstLine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14:paraId="67F19D62" w14:textId="77777777" w:rsidR="00772088" w:rsidRDefault="00772088" w:rsidP="0077208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4ED6713" w14:textId="066A7F04" w:rsidR="00772088" w:rsidRPr="00763A33" w:rsidRDefault="00772088" w:rsidP="00772088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763A33">
        <w:rPr>
          <w:rFonts w:ascii="Arial" w:hAnsi="Arial" w:cs="Arial"/>
          <w:b/>
          <w:sz w:val="22"/>
          <w:szCs w:val="22"/>
        </w:rPr>
        <w:t xml:space="preserve">Pokud není možné zveřejnit analýzu z důvodu </w:t>
      </w:r>
      <w:r w:rsidR="00600EED">
        <w:rPr>
          <w:rFonts w:ascii="Arial" w:hAnsi="Arial" w:cs="Arial"/>
          <w:b/>
          <w:sz w:val="22"/>
          <w:szCs w:val="22"/>
        </w:rPr>
        <w:t xml:space="preserve">uváděného </w:t>
      </w:r>
      <w:r w:rsidRPr="00763A33">
        <w:rPr>
          <w:rFonts w:ascii="Arial" w:hAnsi="Arial" w:cs="Arial"/>
          <w:b/>
          <w:sz w:val="22"/>
          <w:szCs w:val="22"/>
        </w:rPr>
        <w:t>obchodního tajemství, žádá</w:t>
      </w:r>
      <w:r w:rsidR="00600EED">
        <w:rPr>
          <w:rFonts w:ascii="Arial" w:hAnsi="Arial" w:cs="Arial"/>
          <w:b/>
          <w:sz w:val="22"/>
          <w:szCs w:val="22"/>
        </w:rPr>
        <w:t xml:space="preserve"> společnost O2</w:t>
      </w:r>
      <w:r w:rsidRPr="00763A33">
        <w:rPr>
          <w:rFonts w:ascii="Arial" w:hAnsi="Arial" w:cs="Arial"/>
          <w:b/>
          <w:sz w:val="22"/>
          <w:szCs w:val="22"/>
        </w:rPr>
        <w:t xml:space="preserve"> alespoň o její důkladné vysvětlení, aby bylo </w:t>
      </w:r>
      <w:r w:rsidR="00600EED">
        <w:rPr>
          <w:rFonts w:ascii="Arial" w:hAnsi="Arial" w:cs="Arial"/>
          <w:b/>
          <w:sz w:val="22"/>
          <w:szCs w:val="22"/>
        </w:rPr>
        <w:t xml:space="preserve">vůbec </w:t>
      </w:r>
      <w:r w:rsidRPr="00763A33">
        <w:rPr>
          <w:rFonts w:ascii="Arial" w:hAnsi="Arial" w:cs="Arial"/>
          <w:b/>
          <w:sz w:val="22"/>
          <w:szCs w:val="22"/>
        </w:rPr>
        <w:t xml:space="preserve">možno ověřit správnost jejích </w:t>
      </w:r>
      <w:r w:rsidR="00600EED">
        <w:rPr>
          <w:rFonts w:ascii="Arial" w:hAnsi="Arial" w:cs="Arial"/>
          <w:b/>
          <w:sz w:val="22"/>
          <w:szCs w:val="22"/>
        </w:rPr>
        <w:t xml:space="preserve">zveřejněných </w:t>
      </w:r>
      <w:r w:rsidRPr="00763A33">
        <w:rPr>
          <w:rFonts w:ascii="Arial" w:hAnsi="Arial" w:cs="Arial"/>
          <w:b/>
          <w:sz w:val="22"/>
          <w:szCs w:val="22"/>
        </w:rPr>
        <w:t>závěrů.</w:t>
      </w:r>
    </w:p>
    <w:p w14:paraId="05B974EC" w14:textId="77777777" w:rsidR="00772088" w:rsidRDefault="00772088" w:rsidP="0077208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1C318AE" w14:textId="77777777" w:rsidR="00772088" w:rsidRPr="0002076A" w:rsidRDefault="00772088" w:rsidP="00772088">
      <w:pPr>
        <w:ind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36C73390" w14:textId="77777777" w:rsidR="00772088" w:rsidRDefault="00772088" w:rsidP="00772088">
      <w:pPr>
        <w:ind w:left="357"/>
        <w:jc w:val="both"/>
        <w:rPr>
          <w:rFonts w:ascii="Arial" w:hAnsi="Arial" w:cs="Arial"/>
          <w:b/>
        </w:rPr>
      </w:pPr>
    </w:p>
    <w:p w14:paraId="24969132" w14:textId="45348A4F" w:rsidR="00772088" w:rsidRDefault="00F4511F" w:rsidP="00772088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ČTÚ </w:t>
      </w:r>
      <w:r w:rsidR="00772088" w:rsidRPr="00772088">
        <w:rPr>
          <w:rFonts w:ascii="Arial" w:hAnsi="Arial" w:cs="Arial"/>
          <w:sz w:val="22"/>
          <w:szCs w:val="22"/>
        </w:rPr>
        <w:t xml:space="preserve">na straně č. 34 provedl analýzu </w:t>
      </w:r>
      <w:proofErr w:type="spellStart"/>
      <w:r w:rsidR="00772088" w:rsidRPr="00772088">
        <w:rPr>
          <w:rFonts w:ascii="Arial" w:hAnsi="Arial" w:cs="Arial"/>
          <w:sz w:val="22"/>
          <w:szCs w:val="22"/>
        </w:rPr>
        <w:t>replikovatelnosti</w:t>
      </w:r>
      <w:proofErr w:type="spellEnd"/>
      <w:r w:rsidR="00772088" w:rsidRPr="00772088">
        <w:rPr>
          <w:rFonts w:ascii="Arial" w:hAnsi="Arial" w:cs="Arial"/>
          <w:sz w:val="22"/>
          <w:szCs w:val="22"/>
        </w:rPr>
        <w:t xml:space="preserve"> maloobchodních služeb</w:t>
      </w:r>
      <w:r w:rsidR="00772088">
        <w:rPr>
          <w:rFonts w:ascii="Arial" w:hAnsi="Arial" w:cs="Arial"/>
          <w:sz w:val="22"/>
          <w:szCs w:val="22"/>
        </w:rPr>
        <w:t xml:space="preserve">, která údajně signalizuje existenci tržních problémů. Z důvodu obchodního tajemství ale nelze jakýmkoliv způsobem ověřit její validitu. Přitom </w:t>
      </w:r>
      <w:r w:rsidR="00600EED">
        <w:rPr>
          <w:rFonts w:ascii="Arial" w:hAnsi="Arial" w:cs="Arial"/>
          <w:sz w:val="22"/>
          <w:szCs w:val="22"/>
        </w:rPr>
        <w:t xml:space="preserve">však </w:t>
      </w:r>
      <w:r w:rsidR="00772088">
        <w:rPr>
          <w:rFonts w:ascii="Arial" w:hAnsi="Arial" w:cs="Arial"/>
          <w:sz w:val="22"/>
          <w:szCs w:val="22"/>
        </w:rPr>
        <w:t xml:space="preserve">ostatní části testu naznačují přesný opak, tedy velmi úspěšné fungování </w:t>
      </w:r>
      <w:r w:rsidR="00600EED">
        <w:rPr>
          <w:rFonts w:ascii="Arial" w:hAnsi="Arial" w:cs="Arial"/>
          <w:sz w:val="22"/>
          <w:szCs w:val="22"/>
        </w:rPr>
        <w:t xml:space="preserve">subjektů typu </w:t>
      </w:r>
      <w:r w:rsidR="00772088">
        <w:rPr>
          <w:rFonts w:ascii="Arial" w:hAnsi="Arial" w:cs="Arial"/>
          <w:sz w:val="22"/>
          <w:szCs w:val="22"/>
        </w:rPr>
        <w:t xml:space="preserve">MVNO </w:t>
      </w:r>
      <w:r w:rsidR="00763A33">
        <w:rPr>
          <w:rFonts w:ascii="Arial" w:hAnsi="Arial" w:cs="Arial"/>
          <w:sz w:val="22"/>
          <w:szCs w:val="22"/>
        </w:rPr>
        <w:t>na českém trhu mobilních služeb.</w:t>
      </w:r>
      <w:r w:rsidR="001E4B09">
        <w:rPr>
          <w:rFonts w:ascii="Arial" w:hAnsi="Arial" w:cs="Arial"/>
          <w:sz w:val="22"/>
          <w:szCs w:val="22"/>
        </w:rPr>
        <w:t xml:space="preserve"> </w:t>
      </w:r>
      <w:r w:rsidR="00350365">
        <w:rPr>
          <w:rFonts w:ascii="Arial" w:hAnsi="Arial" w:cs="Arial"/>
          <w:sz w:val="22"/>
          <w:szCs w:val="22"/>
        </w:rPr>
        <w:t xml:space="preserve">V této souvislosti proto </w:t>
      </w:r>
      <w:r w:rsidR="00E07791">
        <w:rPr>
          <w:rFonts w:ascii="Arial" w:hAnsi="Arial" w:cs="Arial"/>
          <w:sz w:val="22"/>
          <w:szCs w:val="22"/>
        </w:rPr>
        <w:t xml:space="preserve">společnost </w:t>
      </w:r>
      <w:r w:rsidR="00350365">
        <w:rPr>
          <w:rFonts w:ascii="Arial" w:hAnsi="Arial" w:cs="Arial"/>
          <w:sz w:val="22"/>
          <w:szCs w:val="22"/>
        </w:rPr>
        <w:t>O2</w:t>
      </w:r>
      <w:r w:rsidR="006A2653">
        <w:rPr>
          <w:rFonts w:ascii="Arial" w:hAnsi="Arial" w:cs="Arial"/>
          <w:sz w:val="22"/>
          <w:szCs w:val="22"/>
        </w:rPr>
        <w:t>, která</w:t>
      </w:r>
      <w:r w:rsidR="00350365">
        <w:rPr>
          <w:rFonts w:ascii="Arial" w:hAnsi="Arial" w:cs="Arial"/>
          <w:sz w:val="22"/>
          <w:szCs w:val="22"/>
        </w:rPr>
        <w:t xml:space="preserve"> </w:t>
      </w:r>
      <w:r w:rsidR="00B136D8">
        <w:rPr>
          <w:rFonts w:ascii="Arial" w:hAnsi="Arial" w:cs="Arial"/>
          <w:sz w:val="22"/>
          <w:szCs w:val="22"/>
        </w:rPr>
        <w:t xml:space="preserve">ve své síti hostí nejvíce SIM karet </w:t>
      </w:r>
      <w:r w:rsidR="00350365">
        <w:rPr>
          <w:rFonts w:ascii="Arial" w:hAnsi="Arial" w:cs="Arial"/>
          <w:sz w:val="22"/>
          <w:szCs w:val="22"/>
        </w:rPr>
        <w:t>subjektů typu MVNO v</w:t>
      </w:r>
      <w:r w:rsidR="00E07791">
        <w:rPr>
          <w:rFonts w:ascii="Arial" w:hAnsi="Arial" w:cs="Arial"/>
          <w:sz w:val="22"/>
          <w:szCs w:val="22"/>
        </w:rPr>
        <w:t> </w:t>
      </w:r>
      <w:r w:rsidR="00350365">
        <w:rPr>
          <w:rFonts w:ascii="Arial" w:hAnsi="Arial" w:cs="Arial"/>
          <w:sz w:val="22"/>
          <w:szCs w:val="22"/>
        </w:rPr>
        <w:t>Č</w:t>
      </w:r>
      <w:r w:rsidR="00E07791">
        <w:rPr>
          <w:rFonts w:ascii="Arial" w:hAnsi="Arial" w:cs="Arial"/>
          <w:sz w:val="22"/>
          <w:szCs w:val="22"/>
        </w:rPr>
        <w:t>eské republice</w:t>
      </w:r>
      <w:r w:rsidR="008D48CD">
        <w:rPr>
          <w:rFonts w:ascii="Arial" w:hAnsi="Arial" w:cs="Arial"/>
          <w:sz w:val="22"/>
          <w:szCs w:val="22"/>
        </w:rPr>
        <w:t>,</w:t>
      </w:r>
      <w:r w:rsidR="00350365">
        <w:rPr>
          <w:rFonts w:ascii="Arial" w:hAnsi="Arial" w:cs="Arial"/>
          <w:sz w:val="22"/>
          <w:szCs w:val="22"/>
        </w:rPr>
        <w:t xml:space="preserve"> konstatuje</w:t>
      </w:r>
      <w:r w:rsidR="00600EED">
        <w:rPr>
          <w:rFonts w:ascii="Arial" w:hAnsi="Arial" w:cs="Arial"/>
          <w:sz w:val="22"/>
          <w:szCs w:val="22"/>
        </w:rPr>
        <w:t xml:space="preserve"> v rámci tohoto připomínkového řízení</w:t>
      </w:r>
      <w:r w:rsidR="00350365">
        <w:rPr>
          <w:rFonts w:ascii="Arial" w:hAnsi="Arial" w:cs="Arial"/>
          <w:sz w:val="22"/>
          <w:szCs w:val="22"/>
        </w:rPr>
        <w:t xml:space="preserve">, že takovéto komerční dohody dávající </w:t>
      </w:r>
      <w:r w:rsidR="002658B4">
        <w:rPr>
          <w:rFonts w:ascii="Arial" w:hAnsi="Arial" w:cs="Arial"/>
          <w:sz w:val="22"/>
          <w:szCs w:val="22"/>
        </w:rPr>
        <w:t xml:space="preserve">ekonomický </w:t>
      </w:r>
      <w:r w:rsidR="00350365">
        <w:rPr>
          <w:rFonts w:ascii="Arial" w:hAnsi="Arial" w:cs="Arial"/>
          <w:sz w:val="22"/>
          <w:szCs w:val="22"/>
        </w:rPr>
        <w:t xml:space="preserve">smysl oběma stranám jsou </w:t>
      </w:r>
      <w:r w:rsidR="002658B4">
        <w:rPr>
          <w:rFonts w:ascii="Arial" w:hAnsi="Arial" w:cs="Arial"/>
          <w:sz w:val="22"/>
          <w:szCs w:val="22"/>
        </w:rPr>
        <w:lastRenderedPageBreak/>
        <w:t xml:space="preserve">realizovatelné a realizované </w:t>
      </w:r>
      <w:r w:rsidR="00350365">
        <w:rPr>
          <w:rFonts w:ascii="Arial" w:hAnsi="Arial" w:cs="Arial"/>
          <w:sz w:val="22"/>
          <w:szCs w:val="22"/>
        </w:rPr>
        <w:t xml:space="preserve">a na trhu dobře fungují, jak je </w:t>
      </w:r>
      <w:r w:rsidR="00600EED">
        <w:rPr>
          <w:rFonts w:ascii="Arial" w:hAnsi="Arial" w:cs="Arial"/>
          <w:sz w:val="22"/>
          <w:szCs w:val="22"/>
        </w:rPr>
        <w:t xml:space="preserve">ostatně ČTÚ </w:t>
      </w:r>
      <w:r w:rsidR="00350365">
        <w:rPr>
          <w:rFonts w:ascii="Arial" w:hAnsi="Arial" w:cs="Arial"/>
          <w:sz w:val="22"/>
          <w:szCs w:val="22"/>
        </w:rPr>
        <w:t>dobře známo z jeho úřední činnosti</w:t>
      </w:r>
      <w:r w:rsidR="00600EED">
        <w:rPr>
          <w:rFonts w:ascii="Arial" w:hAnsi="Arial" w:cs="Arial"/>
          <w:sz w:val="22"/>
          <w:szCs w:val="22"/>
        </w:rPr>
        <w:t>, protože veškeré velkoobchodní smlouvy tohoto typu jsou předávány ČTÚ a případné spory, které však v případě společnosti O2 neexistují, by opět řešil ČTÚ.</w:t>
      </w:r>
      <w:r w:rsidR="00350365">
        <w:rPr>
          <w:rFonts w:ascii="Arial" w:hAnsi="Arial" w:cs="Arial"/>
          <w:sz w:val="22"/>
          <w:szCs w:val="22"/>
        </w:rPr>
        <w:t xml:space="preserve"> </w:t>
      </w:r>
    </w:p>
    <w:p w14:paraId="529C5F27" w14:textId="77777777" w:rsidR="00350365" w:rsidRDefault="00350365" w:rsidP="0077208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5A306E8E" w14:textId="77777777" w:rsidR="00015FD4" w:rsidRDefault="00015FD4" w:rsidP="0077208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D465A35" w14:textId="485FD007" w:rsidR="005B65B8" w:rsidRPr="007B4D36" w:rsidRDefault="00962485" w:rsidP="00265D7D">
      <w:pPr>
        <w:pStyle w:val="Nadpis2"/>
      </w:pPr>
      <w:r>
        <w:t>Změna z</w:t>
      </w:r>
      <w:r w:rsidR="005410A5">
        <w:t>ávěr</w:t>
      </w:r>
      <w:r>
        <w:t>u</w:t>
      </w:r>
      <w:r w:rsidR="005410A5">
        <w:t xml:space="preserve"> kritéria č. 1 - </w:t>
      </w:r>
      <w:r w:rsidR="005410A5" w:rsidRPr="005410A5">
        <w:t>Existence značných, a nikoliv dočasných</w:t>
      </w:r>
      <w:r w:rsidR="005410A5">
        <w:t xml:space="preserve"> </w:t>
      </w:r>
      <w:r w:rsidR="005410A5" w:rsidRPr="005410A5">
        <w:t>strukturálních, právních nebo regulačních překážek</w:t>
      </w:r>
      <w:r w:rsidR="005410A5">
        <w:t xml:space="preserve"> </w:t>
      </w:r>
      <w:r w:rsidR="005410A5" w:rsidRPr="005410A5">
        <w:t>vstupu</w:t>
      </w:r>
      <w:r w:rsidR="004F2CEF">
        <w:t xml:space="preserve"> </w:t>
      </w:r>
      <w:r w:rsidR="00C61637">
        <w:t>–</w:t>
      </w:r>
      <w:r w:rsidR="004F2CEF">
        <w:t xml:space="preserve"> </w:t>
      </w:r>
      <w:r w:rsidR="00C61637">
        <w:t>str.</w:t>
      </w:r>
      <w:r w:rsidR="00156761">
        <w:t> </w:t>
      </w:r>
      <w:r w:rsidR="00C61637">
        <w:t>35</w:t>
      </w:r>
      <w:r w:rsidR="00156761">
        <w:noBreakHyphen/>
      </w:r>
      <w:r w:rsidR="00C61637">
        <w:t>36</w:t>
      </w:r>
    </w:p>
    <w:p w14:paraId="04B328D6" w14:textId="77777777" w:rsidR="007B4D36" w:rsidRPr="007B4D36" w:rsidRDefault="007B4D36" w:rsidP="007B4D36">
      <w:pPr>
        <w:ind w:left="360"/>
        <w:rPr>
          <w:rFonts w:ascii="Arial" w:hAnsi="Arial" w:cs="Arial"/>
          <w:sz w:val="22"/>
          <w:szCs w:val="22"/>
        </w:rPr>
      </w:pPr>
    </w:p>
    <w:p w14:paraId="23F0E300" w14:textId="77777777" w:rsidR="007B4D36" w:rsidRPr="00E6618D" w:rsidRDefault="007B4D36" w:rsidP="007B4D36">
      <w:pPr>
        <w:ind w:firstLine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14:paraId="3EFFA15C" w14:textId="6B4142E6" w:rsidR="005B65B8" w:rsidRDefault="007B4D36" w:rsidP="00047F1D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1B071D5" w14:textId="60C10B4C" w:rsidR="007B4D36" w:rsidRDefault="007B4D36" w:rsidP="00047F1D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62485">
        <w:rPr>
          <w:rFonts w:ascii="Arial" w:hAnsi="Arial" w:cs="Arial"/>
          <w:b/>
          <w:sz w:val="22"/>
          <w:szCs w:val="22"/>
        </w:rPr>
        <w:t>Úprava závěru kritéria č. 1 ve smyslu nesplnění 1. kritéria na základě provedené analýzy.</w:t>
      </w:r>
    </w:p>
    <w:p w14:paraId="4DE74D29" w14:textId="77777777" w:rsidR="005410A5" w:rsidRDefault="005410A5" w:rsidP="005410A5">
      <w:pPr>
        <w:ind w:firstLine="357"/>
        <w:rPr>
          <w:rFonts w:ascii="Arial" w:hAnsi="Arial" w:cs="Arial"/>
          <w:i/>
          <w:sz w:val="22"/>
          <w:szCs w:val="22"/>
        </w:rPr>
      </w:pPr>
    </w:p>
    <w:p w14:paraId="27D5BE03" w14:textId="77777777" w:rsidR="005410A5" w:rsidRPr="0002076A" w:rsidRDefault="005410A5" w:rsidP="005410A5">
      <w:pPr>
        <w:ind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5D2677FB" w14:textId="3D87F017" w:rsidR="005410A5" w:rsidRDefault="005410A5" w:rsidP="00047F1D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3128629" w14:textId="1B4854CA" w:rsidR="005410A5" w:rsidRPr="0083047F" w:rsidRDefault="005410A5" w:rsidP="00047F1D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F6D1B" w:rsidRPr="0083047F">
        <w:rPr>
          <w:rFonts w:ascii="Arial" w:hAnsi="Arial" w:cs="Arial"/>
          <w:sz w:val="22"/>
          <w:szCs w:val="22"/>
        </w:rPr>
        <w:t>ČT</w:t>
      </w:r>
      <w:r w:rsidR="00CF6D1B" w:rsidRPr="00393E48">
        <w:rPr>
          <w:rFonts w:ascii="Arial" w:hAnsi="Arial" w:cs="Arial"/>
          <w:sz w:val="22"/>
          <w:szCs w:val="22"/>
        </w:rPr>
        <w:t xml:space="preserve">Ú </w:t>
      </w:r>
      <w:r w:rsidR="00CF6D1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základě podmínek výběrových řízení z roku 2013 a 2016, která zahrnovala primární rádiové kmitočty používané pro technologii LTE, stanovuje pro dotčené příděly rádiových kmitočtů ceny a podmínky referenčních velkoobchodních smluv o přístupu k síti LTE. </w:t>
      </w:r>
      <w:r w:rsidR="007033D4">
        <w:rPr>
          <w:rFonts w:ascii="Arial" w:hAnsi="Arial" w:cs="Arial"/>
          <w:sz w:val="22"/>
          <w:szCs w:val="22"/>
        </w:rPr>
        <w:t xml:space="preserve">Mimo tyto referenční nabídky, jak </w:t>
      </w:r>
      <w:r w:rsidR="00CF6D1B">
        <w:rPr>
          <w:rFonts w:ascii="Arial" w:hAnsi="Arial" w:cs="Arial"/>
          <w:sz w:val="22"/>
          <w:szCs w:val="22"/>
        </w:rPr>
        <w:t xml:space="preserve">ČTÚ </w:t>
      </w:r>
      <w:r w:rsidR="007033D4">
        <w:rPr>
          <w:rFonts w:ascii="Arial" w:hAnsi="Arial" w:cs="Arial"/>
          <w:sz w:val="22"/>
          <w:szCs w:val="22"/>
        </w:rPr>
        <w:t xml:space="preserve">správně podotýká, je uzavřeno velké množství komerčních velkoobchodních smluv, které znamenají pro MVNO ještě lepší podmínky než ty, které schvaluje </w:t>
      </w:r>
      <w:r w:rsidR="00CF6D1B">
        <w:rPr>
          <w:rFonts w:ascii="Arial" w:hAnsi="Arial" w:cs="Arial"/>
          <w:sz w:val="22"/>
          <w:szCs w:val="22"/>
        </w:rPr>
        <w:t xml:space="preserve">ČTÚ </w:t>
      </w:r>
      <w:r w:rsidR="007033D4">
        <w:rPr>
          <w:rFonts w:ascii="Arial" w:hAnsi="Arial" w:cs="Arial"/>
          <w:sz w:val="22"/>
          <w:szCs w:val="22"/>
        </w:rPr>
        <w:t xml:space="preserve">v rámci referenčních nabídek včetně přístupu k nejmodernější síti LTE. </w:t>
      </w:r>
      <w:r w:rsidR="002225AD">
        <w:rPr>
          <w:rFonts w:ascii="Arial" w:hAnsi="Arial" w:cs="Arial"/>
          <w:sz w:val="22"/>
          <w:szCs w:val="22"/>
        </w:rPr>
        <w:t>Množství MVNO je v České republice v rámci Evropské unie nadprůměrné</w:t>
      </w:r>
      <w:r w:rsidR="00CF6D1B">
        <w:rPr>
          <w:rFonts w:ascii="Arial" w:hAnsi="Arial" w:cs="Arial"/>
          <w:sz w:val="22"/>
          <w:szCs w:val="22"/>
        </w:rPr>
        <w:t>, což je rovněž velmi pozitivním faktem vypovídajícím o zdravě fungujícím trhu.</w:t>
      </w:r>
      <w:r w:rsidR="002225AD">
        <w:rPr>
          <w:rFonts w:ascii="Arial" w:hAnsi="Arial" w:cs="Arial"/>
          <w:sz w:val="22"/>
          <w:szCs w:val="22"/>
        </w:rPr>
        <w:t xml:space="preserve"> </w:t>
      </w:r>
      <w:r w:rsidR="007033D4">
        <w:rPr>
          <w:rFonts w:ascii="Arial" w:hAnsi="Arial" w:cs="Arial"/>
          <w:sz w:val="22"/>
          <w:szCs w:val="22"/>
        </w:rPr>
        <w:t>Komerční velkoobchodní smlouvy jsou uzavírány na základě vzájemné dohody obou stran</w:t>
      </w:r>
      <w:r w:rsidR="0006718D">
        <w:rPr>
          <w:rFonts w:ascii="Arial" w:hAnsi="Arial" w:cs="Arial"/>
          <w:sz w:val="22"/>
          <w:szCs w:val="22"/>
        </w:rPr>
        <w:t>.</w:t>
      </w:r>
      <w:r w:rsidR="00BD7383">
        <w:rPr>
          <w:rFonts w:ascii="Arial" w:hAnsi="Arial" w:cs="Arial"/>
          <w:sz w:val="22"/>
          <w:szCs w:val="22"/>
        </w:rPr>
        <w:t xml:space="preserve"> </w:t>
      </w:r>
      <w:r w:rsidR="0006718D">
        <w:rPr>
          <w:rFonts w:ascii="Arial" w:hAnsi="Arial" w:cs="Arial"/>
          <w:sz w:val="22"/>
          <w:szCs w:val="22"/>
        </w:rPr>
        <w:t>Kdyby tyto komerční dohody nedávaly oběma stranám smysl, tak by nebyly tímto způsobem uzavírány a bylo by spíše postupováno prostřednictvím povinných referenčních velkoobchodních nabídek, jejichž podmínky jsou důsledně kontrolovány</w:t>
      </w:r>
      <w:r w:rsidR="00F4511F">
        <w:rPr>
          <w:rFonts w:ascii="Arial" w:hAnsi="Arial" w:cs="Arial"/>
          <w:sz w:val="22"/>
          <w:szCs w:val="22"/>
        </w:rPr>
        <w:t xml:space="preserve"> ČTÚ</w:t>
      </w:r>
      <w:r w:rsidR="00BD7383">
        <w:rPr>
          <w:rFonts w:ascii="Arial" w:hAnsi="Arial" w:cs="Arial"/>
          <w:sz w:val="22"/>
          <w:szCs w:val="22"/>
        </w:rPr>
        <w:t>. To</w:t>
      </w:r>
      <w:r w:rsidR="00770438">
        <w:rPr>
          <w:rFonts w:ascii="Arial" w:hAnsi="Arial" w:cs="Arial"/>
          <w:sz w:val="22"/>
          <w:szCs w:val="22"/>
        </w:rPr>
        <w:t>to</w:t>
      </w:r>
      <w:r w:rsidR="00BD7383" w:rsidRPr="00BD7383">
        <w:rPr>
          <w:rFonts w:ascii="Arial" w:hAnsi="Arial" w:cs="Arial"/>
          <w:sz w:val="22"/>
          <w:szCs w:val="22"/>
        </w:rPr>
        <w:t xml:space="preserve"> </w:t>
      </w:r>
      <w:r w:rsidR="0006718D">
        <w:rPr>
          <w:rFonts w:ascii="Arial" w:hAnsi="Arial" w:cs="Arial"/>
          <w:sz w:val="22"/>
          <w:szCs w:val="22"/>
        </w:rPr>
        <w:t xml:space="preserve">se však v realitě neděje, což jasně ukazuje, že trh </w:t>
      </w:r>
      <w:r w:rsidR="0006718D" w:rsidRPr="00BD7383">
        <w:rPr>
          <w:rFonts w:ascii="Arial" w:hAnsi="Arial" w:cs="Arial"/>
          <w:b/>
          <w:sz w:val="22"/>
          <w:szCs w:val="22"/>
        </w:rPr>
        <w:t>funguje zdravě</w:t>
      </w:r>
      <w:r w:rsidR="0006718D">
        <w:rPr>
          <w:rFonts w:ascii="Arial" w:hAnsi="Arial" w:cs="Arial"/>
          <w:sz w:val="22"/>
          <w:szCs w:val="22"/>
        </w:rPr>
        <w:t xml:space="preserve"> bez potřeby tvrdých regulačních zásahů</w:t>
      </w:r>
      <w:r w:rsidR="002225AD">
        <w:rPr>
          <w:rFonts w:ascii="Arial" w:hAnsi="Arial" w:cs="Arial"/>
          <w:sz w:val="22"/>
          <w:szCs w:val="22"/>
        </w:rPr>
        <w:t>.</w:t>
      </w:r>
      <w:r w:rsidR="00A20731">
        <w:rPr>
          <w:rFonts w:ascii="Arial" w:hAnsi="Arial" w:cs="Arial"/>
          <w:sz w:val="22"/>
          <w:szCs w:val="22"/>
        </w:rPr>
        <w:t xml:space="preserve"> Právě </w:t>
      </w:r>
      <w:r w:rsidR="00A20731" w:rsidRPr="00A20731">
        <w:rPr>
          <w:rFonts w:ascii="Arial" w:hAnsi="Arial" w:cs="Arial"/>
          <w:sz w:val="22"/>
          <w:szCs w:val="22"/>
        </w:rPr>
        <w:t>povinné referenční nabídky přístupu</w:t>
      </w:r>
      <w:r w:rsidR="00A20731">
        <w:rPr>
          <w:rFonts w:ascii="Arial" w:hAnsi="Arial" w:cs="Arial"/>
          <w:sz w:val="22"/>
          <w:szCs w:val="22"/>
        </w:rPr>
        <w:t xml:space="preserve">, které jsou vytvářeny </w:t>
      </w:r>
      <w:r w:rsidR="00CF6D1B">
        <w:rPr>
          <w:rFonts w:ascii="Arial" w:hAnsi="Arial" w:cs="Arial"/>
          <w:sz w:val="22"/>
          <w:szCs w:val="22"/>
        </w:rPr>
        <w:t>dle</w:t>
      </w:r>
      <w:r w:rsidR="00A20731">
        <w:rPr>
          <w:rFonts w:ascii="Arial" w:hAnsi="Arial" w:cs="Arial"/>
          <w:sz w:val="22"/>
          <w:szCs w:val="22"/>
        </w:rPr>
        <w:t xml:space="preserve"> metodiky </w:t>
      </w:r>
      <w:r w:rsidR="00CF6D1B">
        <w:rPr>
          <w:rFonts w:ascii="Arial" w:hAnsi="Arial" w:cs="Arial"/>
          <w:sz w:val="22"/>
          <w:szCs w:val="22"/>
        </w:rPr>
        <w:t xml:space="preserve">ČTÚ </w:t>
      </w:r>
      <w:r w:rsidR="00A20731">
        <w:rPr>
          <w:rFonts w:ascii="Arial" w:hAnsi="Arial" w:cs="Arial"/>
          <w:sz w:val="22"/>
          <w:szCs w:val="22"/>
        </w:rPr>
        <w:t xml:space="preserve">a jsou jím striktně a pravidelně kontrolovány mají být pojistkou proti nedostatečné konkurenci na trhu mobilních datových přenosů. </w:t>
      </w:r>
      <w:r w:rsidR="00A20731" w:rsidRPr="0083047F">
        <w:rPr>
          <w:rFonts w:ascii="Arial" w:hAnsi="Arial" w:cs="Arial"/>
          <w:b/>
          <w:sz w:val="22"/>
          <w:szCs w:val="22"/>
        </w:rPr>
        <w:t xml:space="preserve">To, že </w:t>
      </w:r>
      <w:r w:rsidR="00CF6D1B" w:rsidRPr="0083047F">
        <w:rPr>
          <w:rFonts w:ascii="Arial" w:hAnsi="Arial" w:cs="Arial"/>
          <w:b/>
          <w:sz w:val="22"/>
          <w:szCs w:val="22"/>
        </w:rPr>
        <w:t>tato pojistka není ve skutečnosti vůbec využívána tj. společnosti O2 není známa jediná velkoobchodní smlouva uzavřená na základě povinné referenční nabídky Full MVNO a stejně tak nebyl zaregistrován ani jediný vážný zájemce o její uzavření,</w:t>
      </w:r>
      <w:r w:rsidR="004C1F1B" w:rsidRPr="0083047F">
        <w:rPr>
          <w:rFonts w:ascii="Arial" w:hAnsi="Arial" w:cs="Arial"/>
          <w:b/>
          <w:sz w:val="22"/>
          <w:szCs w:val="22"/>
        </w:rPr>
        <w:t xml:space="preserve"> je jasným důkazem</w:t>
      </w:r>
      <w:r w:rsidR="00CF6D1B" w:rsidRPr="0083047F">
        <w:rPr>
          <w:rFonts w:ascii="Arial" w:hAnsi="Arial" w:cs="Arial"/>
          <w:b/>
          <w:sz w:val="22"/>
          <w:szCs w:val="22"/>
        </w:rPr>
        <w:t xml:space="preserve">, že funguje </w:t>
      </w:r>
      <w:r w:rsidR="00A20731" w:rsidRPr="0083047F">
        <w:rPr>
          <w:rFonts w:ascii="Arial" w:hAnsi="Arial" w:cs="Arial"/>
          <w:b/>
          <w:sz w:val="22"/>
          <w:szCs w:val="22"/>
        </w:rPr>
        <w:t xml:space="preserve">komerční </w:t>
      </w:r>
      <w:r w:rsidR="00CF6D1B" w:rsidRPr="0083047F">
        <w:rPr>
          <w:rFonts w:ascii="Arial" w:hAnsi="Arial" w:cs="Arial"/>
          <w:b/>
          <w:sz w:val="22"/>
          <w:szCs w:val="22"/>
        </w:rPr>
        <w:t xml:space="preserve">a neregulovaná cesta, kdy velkoobchodní </w:t>
      </w:r>
      <w:r w:rsidR="00A20731" w:rsidRPr="0083047F">
        <w:rPr>
          <w:rFonts w:ascii="Arial" w:hAnsi="Arial" w:cs="Arial"/>
          <w:b/>
          <w:sz w:val="22"/>
          <w:szCs w:val="22"/>
        </w:rPr>
        <w:t xml:space="preserve">smlouvy mezi MNO a MVNO </w:t>
      </w:r>
      <w:r w:rsidR="004C1F1B" w:rsidRPr="0083047F">
        <w:rPr>
          <w:rFonts w:ascii="Arial" w:hAnsi="Arial" w:cs="Arial"/>
          <w:b/>
          <w:sz w:val="22"/>
          <w:szCs w:val="22"/>
        </w:rPr>
        <w:t xml:space="preserve">jsou uzavírány za </w:t>
      </w:r>
      <w:r w:rsidR="00A20731" w:rsidRPr="0083047F">
        <w:rPr>
          <w:rFonts w:ascii="Arial" w:hAnsi="Arial" w:cs="Arial"/>
          <w:b/>
          <w:sz w:val="22"/>
          <w:szCs w:val="22"/>
        </w:rPr>
        <w:t>výrazně</w:t>
      </w:r>
      <w:r w:rsidR="004C1F1B" w:rsidRPr="0083047F">
        <w:rPr>
          <w:rFonts w:ascii="Arial" w:hAnsi="Arial" w:cs="Arial"/>
          <w:b/>
          <w:sz w:val="22"/>
          <w:szCs w:val="22"/>
        </w:rPr>
        <w:t xml:space="preserve"> lepších podmínek </w:t>
      </w:r>
      <w:r w:rsidR="00770438" w:rsidRPr="0083047F">
        <w:rPr>
          <w:rFonts w:ascii="Arial" w:hAnsi="Arial" w:cs="Arial"/>
          <w:b/>
          <w:sz w:val="22"/>
          <w:szCs w:val="22"/>
        </w:rPr>
        <w:t xml:space="preserve">na základě svobodné vůle obou stran </w:t>
      </w:r>
      <w:r w:rsidR="004C1F1B" w:rsidRPr="0083047F">
        <w:rPr>
          <w:rFonts w:ascii="Arial" w:hAnsi="Arial" w:cs="Arial"/>
          <w:b/>
          <w:sz w:val="22"/>
          <w:szCs w:val="22"/>
        </w:rPr>
        <w:t>a dochází tak k zdravému vývoji na trhu bez nutnosti dalších regulačních zásahů</w:t>
      </w:r>
      <w:r w:rsidR="00A20731" w:rsidRPr="0083047F">
        <w:rPr>
          <w:rFonts w:ascii="Arial" w:hAnsi="Arial" w:cs="Arial"/>
          <w:b/>
          <w:sz w:val="22"/>
          <w:szCs w:val="22"/>
        </w:rPr>
        <w:t>.</w:t>
      </w:r>
    </w:p>
    <w:p w14:paraId="20A53515" w14:textId="77777777" w:rsidR="00E07791" w:rsidRPr="0083047F" w:rsidRDefault="00E07791" w:rsidP="00047F1D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06710548" w14:textId="61076DA2" w:rsidR="002225AD" w:rsidRDefault="002225AD" w:rsidP="00047F1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7DE0">
        <w:rPr>
          <w:rFonts w:ascii="Arial" w:hAnsi="Arial" w:cs="Arial"/>
          <w:sz w:val="22"/>
          <w:szCs w:val="22"/>
        </w:rPr>
        <w:t xml:space="preserve">ČTÚ </w:t>
      </w:r>
      <w:r>
        <w:rPr>
          <w:rFonts w:ascii="Arial" w:hAnsi="Arial" w:cs="Arial"/>
          <w:sz w:val="22"/>
          <w:szCs w:val="22"/>
        </w:rPr>
        <w:t>dále sice správ</w:t>
      </w:r>
      <w:r w:rsidR="00117A9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ě vyhodnocuje existující nekalou konkurenci ve formě </w:t>
      </w:r>
      <w:r w:rsidR="00EB7DE0">
        <w:rPr>
          <w:rFonts w:ascii="Arial" w:hAnsi="Arial" w:cs="Arial"/>
          <w:sz w:val="22"/>
          <w:szCs w:val="22"/>
        </w:rPr>
        <w:t xml:space="preserve">tzv. </w:t>
      </w:r>
      <w:r>
        <w:rPr>
          <w:rFonts w:ascii="Arial" w:hAnsi="Arial" w:cs="Arial"/>
          <w:sz w:val="22"/>
          <w:szCs w:val="22"/>
        </w:rPr>
        <w:t xml:space="preserve">„šedých operátorů“, ta ale </w:t>
      </w:r>
      <w:r w:rsidR="00EB7DE0">
        <w:rPr>
          <w:rFonts w:ascii="Arial" w:hAnsi="Arial" w:cs="Arial"/>
          <w:sz w:val="22"/>
          <w:szCs w:val="22"/>
        </w:rPr>
        <w:t xml:space="preserve">nemůže být </w:t>
      </w:r>
      <w:r w:rsidR="00E52330">
        <w:rPr>
          <w:rFonts w:ascii="Arial" w:hAnsi="Arial" w:cs="Arial"/>
          <w:sz w:val="22"/>
          <w:szCs w:val="22"/>
        </w:rPr>
        <w:t xml:space="preserve">v žádným případě </w:t>
      </w:r>
      <w:r>
        <w:rPr>
          <w:rFonts w:ascii="Arial" w:hAnsi="Arial" w:cs="Arial"/>
          <w:sz w:val="22"/>
          <w:szCs w:val="22"/>
        </w:rPr>
        <w:t>důvodem k ex ante regulaci a tedy ke splnění 1.</w:t>
      </w:r>
      <w:r w:rsidR="00BD738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kritéria </w:t>
      </w:r>
      <w:proofErr w:type="spellStart"/>
      <w:r>
        <w:rPr>
          <w:rFonts w:ascii="Arial" w:hAnsi="Arial" w:cs="Arial"/>
          <w:sz w:val="22"/>
          <w:szCs w:val="22"/>
        </w:rPr>
        <w:t>tříkriteriálního</w:t>
      </w:r>
      <w:proofErr w:type="spellEnd"/>
      <w:r>
        <w:rPr>
          <w:rFonts w:ascii="Arial" w:hAnsi="Arial" w:cs="Arial"/>
          <w:sz w:val="22"/>
          <w:szCs w:val="22"/>
        </w:rPr>
        <w:t xml:space="preserve"> testu. </w:t>
      </w:r>
      <w:r w:rsidR="00EB7DE0">
        <w:rPr>
          <w:rFonts w:ascii="Arial" w:hAnsi="Arial" w:cs="Arial"/>
          <w:sz w:val="22"/>
          <w:szCs w:val="22"/>
        </w:rPr>
        <w:t xml:space="preserve">ČTÚ </w:t>
      </w:r>
      <w:r w:rsidR="00962485">
        <w:rPr>
          <w:rFonts w:ascii="Arial" w:hAnsi="Arial" w:cs="Arial"/>
          <w:sz w:val="22"/>
          <w:szCs w:val="22"/>
        </w:rPr>
        <w:t xml:space="preserve">má dle názoru </w:t>
      </w:r>
      <w:r w:rsidR="00EB7DE0">
        <w:rPr>
          <w:rFonts w:ascii="Arial" w:hAnsi="Arial" w:cs="Arial"/>
          <w:sz w:val="22"/>
          <w:szCs w:val="22"/>
        </w:rPr>
        <w:t xml:space="preserve">společnosti O2 </w:t>
      </w:r>
      <w:r w:rsidR="00962485">
        <w:rPr>
          <w:rFonts w:ascii="Arial" w:hAnsi="Arial" w:cs="Arial"/>
          <w:sz w:val="22"/>
          <w:szCs w:val="22"/>
        </w:rPr>
        <w:t>v tomto případě aktivně vystupovat proti těmto neoprávněně na trhu působícím subjektům</w:t>
      </w:r>
      <w:r w:rsidR="00EB7DE0">
        <w:rPr>
          <w:rFonts w:ascii="Arial" w:hAnsi="Arial" w:cs="Arial"/>
          <w:sz w:val="22"/>
          <w:szCs w:val="22"/>
        </w:rPr>
        <w:t>, aby došlo v tomto ohledu k nápravě</w:t>
      </w:r>
      <w:r w:rsidR="00962485">
        <w:rPr>
          <w:rFonts w:ascii="Arial" w:hAnsi="Arial" w:cs="Arial"/>
          <w:sz w:val="22"/>
          <w:szCs w:val="22"/>
        </w:rPr>
        <w:t xml:space="preserve"> a nikoliv </w:t>
      </w:r>
      <w:r w:rsidR="00EB7DE0">
        <w:rPr>
          <w:rFonts w:ascii="Arial" w:hAnsi="Arial" w:cs="Arial"/>
          <w:sz w:val="22"/>
          <w:szCs w:val="22"/>
        </w:rPr>
        <w:t>místo toho</w:t>
      </w:r>
      <w:r w:rsidR="00B4010C">
        <w:rPr>
          <w:rFonts w:ascii="Arial" w:hAnsi="Arial" w:cs="Arial"/>
          <w:sz w:val="22"/>
          <w:szCs w:val="22"/>
        </w:rPr>
        <w:t xml:space="preserve"> alokovat své zdroje a pozornost na </w:t>
      </w:r>
      <w:r w:rsidR="00DD05BD">
        <w:rPr>
          <w:rFonts w:ascii="Arial" w:hAnsi="Arial" w:cs="Arial"/>
          <w:sz w:val="22"/>
          <w:szCs w:val="22"/>
        </w:rPr>
        <w:t xml:space="preserve">jinou </w:t>
      </w:r>
      <w:r w:rsidR="00B4010C">
        <w:rPr>
          <w:rFonts w:ascii="Arial" w:hAnsi="Arial" w:cs="Arial"/>
          <w:sz w:val="22"/>
          <w:szCs w:val="22"/>
        </w:rPr>
        <w:t>aktivitu</w:t>
      </w:r>
      <w:r w:rsidR="00EB7DE0">
        <w:rPr>
          <w:rFonts w:ascii="Arial" w:hAnsi="Arial" w:cs="Arial"/>
          <w:sz w:val="22"/>
          <w:szCs w:val="22"/>
        </w:rPr>
        <w:t xml:space="preserve">, kdy chce </w:t>
      </w:r>
      <w:r w:rsidR="00DD05BD">
        <w:rPr>
          <w:rFonts w:ascii="Arial" w:hAnsi="Arial" w:cs="Arial"/>
          <w:sz w:val="22"/>
          <w:szCs w:val="22"/>
        </w:rPr>
        <w:t>zcela</w:t>
      </w:r>
      <w:r w:rsidR="00DD05BD" w:rsidRPr="00E52330">
        <w:rPr>
          <w:rFonts w:ascii="Arial" w:hAnsi="Arial" w:cs="Arial"/>
          <w:sz w:val="22"/>
          <w:szCs w:val="22"/>
        </w:rPr>
        <w:t xml:space="preserve"> </w:t>
      </w:r>
      <w:r w:rsidR="00DD05BD">
        <w:rPr>
          <w:rFonts w:ascii="Arial" w:hAnsi="Arial" w:cs="Arial"/>
          <w:sz w:val="22"/>
          <w:szCs w:val="22"/>
        </w:rPr>
        <w:t xml:space="preserve">bezdůvodně </w:t>
      </w:r>
      <w:r w:rsidR="00962485">
        <w:rPr>
          <w:rFonts w:ascii="Arial" w:hAnsi="Arial" w:cs="Arial"/>
          <w:sz w:val="22"/>
          <w:szCs w:val="22"/>
        </w:rPr>
        <w:t>definovat a regulovat celý relevantní trh</w:t>
      </w:r>
      <w:r w:rsidR="003130EC">
        <w:rPr>
          <w:rFonts w:ascii="Arial" w:hAnsi="Arial" w:cs="Arial"/>
          <w:sz w:val="22"/>
          <w:szCs w:val="22"/>
        </w:rPr>
        <w:t xml:space="preserve"> </w:t>
      </w:r>
      <w:r w:rsidR="003130EC" w:rsidRPr="003130EC">
        <w:rPr>
          <w:rFonts w:ascii="Arial" w:hAnsi="Arial" w:cs="Arial"/>
          <w:sz w:val="22"/>
          <w:szCs w:val="22"/>
        </w:rPr>
        <w:t>přístupu k mobilním službám</w:t>
      </w:r>
      <w:r w:rsidR="002658B4">
        <w:rPr>
          <w:rFonts w:ascii="Arial" w:hAnsi="Arial" w:cs="Arial"/>
          <w:sz w:val="22"/>
          <w:szCs w:val="22"/>
        </w:rPr>
        <w:t xml:space="preserve"> a vyhnout se tak řešení skutečné příčiny pokřivení trhu a ztížené konkurenceschopnosti subjektů typu MVNO, tedy „šedým operátorům“</w:t>
      </w:r>
      <w:r w:rsidR="00962485">
        <w:rPr>
          <w:rFonts w:ascii="Arial" w:hAnsi="Arial" w:cs="Arial"/>
          <w:sz w:val="22"/>
          <w:szCs w:val="22"/>
        </w:rPr>
        <w:t>.</w:t>
      </w:r>
      <w:r w:rsidR="00BD7383">
        <w:rPr>
          <w:rFonts w:ascii="Arial" w:hAnsi="Arial" w:cs="Arial"/>
          <w:sz w:val="22"/>
          <w:szCs w:val="22"/>
        </w:rPr>
        <w:t xml:space="preserve"> </w:t>
      </w:r>
      <w:r w:rsidR="00BD7383" w:rsidRPr="0083047F">
        <w:rPr>
          <w:rFonts w:ascii="Arial" w:hAnsi="Arial" w:cs="Arial"/>
          <w:b/>
          <w:sz w:val="22"/>
          <w:szCs w:val="22"/>
        </w:rPr>
        <w:t xml:space="preserve">Společnost O2 </w:t>
      </w:r>
      <w:r w:rsidR="00E52330" w:rsidRPr="0083047F">
        <w:rPr>
          <w:rFonts w:ascii="Arial" w:hAnsi="Arial" w:cs="Arial"/>
          <w:b/>
          <w:sz w:val="22"/>
          <w:szCs w:val="22"/>
        </w:rPr>
        <w:t xml:space="preserve">proto </w:t>
      </w:r>
      <w:r w:rsidR="00B4010C" w:rsidRPr="0083047F">
        <w:rPr>
          <w:rFonts w:ascii="Arial" w:hAnsi="Arial" w:cs="Arial"/>
          <w:b/>
          <w:sz w:val="22"/>
          <w:szCs w:val="22"/>
        </w:rPr>
        <w:t xml:space="preserve">vítá a </w:t>
      </w:r>
      <w:r w:rsidR="00BD7383" w:rsidRPr="00B4010C">
        <w:rPr>
          <w:rFonts w:ascii="Arial" w:hAnsi="Arial" w:cs="Arial"/>
          <w:b/>
          <w:sz w:val="22"/>
          <w:szCs w:val="22"/>
        </w:rPr>
        <w:t>plně</w:t>
      </w:r>
      <w:r w:rsidR="00BD7383" w:rsidRPr="00BD7383">
        <w:rPr>
          <w:rFonts w:ascii="Arial" w:hAnsi="Arial" w:cs="Arial"/>
          <w:b/>
          <w:sz w:val="22"/>
          <w:szCs w:val="22"/>
        </w:rPr>
        <w:t xml:space="preserve"> podporuje</w:t>
      </w:r>
      <w:r w:rsidR="00B4010C">
        <w:rPr>
          <w:rFonts w:ascii="Arial" w:hAnsi="Arial" w:cs="Arial"/>
          <w:b/>
          <w:sz w:val="22"/>
          <w:szCs w:val="22"/>
        </w:rPr>
        <w:t xml:space="preserve"> </w:t>
      </w:r>
      <w:r w:rsidR="00BD7383" w:rsidRPr="00BD7383">
        <w:rPr>
          <w:rFonts w:ascii="Arial" w:hAnsi="Arial" w:cs="Arial"/>
          <w:b/>
          <w:sz w:val="22"/>
          <w:szCs w:val="22"/>
        </w:rPr>
        <w:t xml:space="preserve">prohlášení </w:t>
      </w:r>
      <w:r w:rsidR="007403AF">
        <w:rPr>
          <w:rFonts w:ascii="Arial" w:hAnsi="Arial" w:cs="Arial"/>
          <w:b/>
          <w:sz w:val="22"/>
          <w:szCs w:val="22"/>
        </w:rPr>
        <w:t>ČTÚ</w:t>
      </w:r>
      <w:r w:rsidR="00DD05BD">
        <w:rPr>
          <w:rFonts w:ascii="Arial" w:hAnsi="Arial" w:cs="Arial"/>
          <w:b/>
          <w:sz w:val="22"/>
          <w:szCs w:val="22"/>
        </w:rPr>
        <w:t>, že chce</w:t>
      </w:r>
      <w:r w:rsidR="007403AF">
        <w:rPr>
          <w:rFonts w:ascii="Arial" w:hAnsi="Arial" w:cs="Arial"/>
          <w:b/>
          <w:sz w:val="22"/>
          <w:szCs w:val="22"/>
        </w:rPr>
        <w:t xml:space="preserve"> </w:t>
      </w:r>
      <w:r w:rsidR="00DD05BD">
        <w:rPr>
          <w:rFonts w:ascii="Arial" w:hAnsi="Arial" w:cs="Arial"/>
          <w:b/>
          <w:sz w:val="22"/>
          <w:szCs w:val="22"/>
        </w:rPr>
        <w:t xml:space="preserve">konečně </w:t>
      </w:r>
      <w:r w:rsidR="00BD7383" w:rsidRPr="00BD7383">
        <w:rPr>
          <w:rFonts w:ascii="Arial" w:hAnsi="Arial" w:cs="Arial"/>
          <w:b/>
          <w:sz w:val="22"/>
          <w:szCs w:val="22"/>
        </w:rPr>
        <w:t>zaháj</w:t>
      </w:r>
      <w:r w:rsidR="00DD05BD">
        <w:rPr>
          <w:rFonts w:ascii="Arial" w:hAnsi="Arial" w:cs="Arial"/>
          <w:b/>
          <w:sz w:val="22"/>
          <w:szCs w:val="22"/>
        </w:rPr>
        <w:t>it</w:t>
      </w:r>
      <w:r w:rsidR="00BD7383" w:rsidRPr="00BD7383">
        <w:rPr>
          <w:rFonts w:ascii="Arial" w:hAnsi="Arial" w:cs="Arial"/>
          <w:b/>
          <w:sz w:val="22"/>
          <w:szCs w:val="22"/>
        </w:rPr>
        <w:t xml:space="preserve"> krok</w:t>
      </w:r>
      <w:r w:rsidR="00DD05BD">
        <w:rPr>
          <w:rFonts w:ascii="Arial" w:hAnsi="Arial" w:cs="Arial"/>
          <w:b/>
          <w:sz w:val="22"/>
          <w:szCs w:val="22"/>
        </w:rPr>
        <w:t>y</w:t>
      </w:r>
      <w:r w:rsidR="00BD7383" w:rsidRPr="00BD7383">
        <w:rPr>
          <w:rFonts w:ascii="Arial" w:hAnsi="Arial" w:cs="Arial"/>
          <w:b/>
          <w:sz w:val="22"/>
          <w:szCs w:val="22"/>
        </w:rPr>
        <w:t xml:space="preserve"> proti „šedým operátorům“</w:t>
      </w:r>
      <w:r w:rsidR="00E52330">
        <w:rPr>
          <w:rFonts w:ascii="Arial" w:hAnsi="Arial" w:cs="Arial"/>
          <w:b/>
          <w:sz w:val="22"/>
          <w:szCs w:val="22"/>
        </w:rPr>
        <w:t>, kteří nelegálním způsobem narušují tržní prostředí</w:t>
      </w:r>
      <w:r w:rsidR="00DD05BD">
        <w:rPr>
          <w:rFonts w:ascii="Arial" w:hAnsi="Arial" w:cs="Arial"/>
          <w:sz w:val="22"/>
          <w:szCs w:val="22"/>
        </w:rPr>
        <w:t>:</w:t>
      </w:r>
      <w:r w:rsidR="00BD7383" w:rsidRPr="00BD7383">
        <w:rPr>
          <w:rFonts w:ascii="Arial" w:hAnsi="Arial" w:cs="Arial"/>
          <w:sz w:val="22"/>
          <w:szCs w:val="22"/>
        </w:rPr>
        <w:t xml:space="preserve"> </w:t>
      </w:r>
      <w:r w:rsidR="00BD7383" w:rsidRPr="00BD7383">
        <w:rPr>
          <w:rFonts w:ascii="Arial" w:hAnsi="Arial" w:cs="Arial"/>
          <w:i/>
          <w:sz w:val="22"/>
          <w:szCs w:val="22"/>
        </w:rPr>
        <w:t xml:space="preserve">„Úřad bude v rámci svých zákonných kompetencí vyvíjet činnost s cílem minimalizovat počet takto </w:t>
      </w:r>
      <w:r w:rsidR="00BD7383" w:rsidRPr="00BD7383">
        <w:rPr>
          <w:rFonts w:ascii="Arial" w:hAnsi="Arial" w:cs="Arial"/>
          <w:i/>
          <w:sz w:val="22"/>
          <w:szCs w:val="22"/>
        </w:rPr>
        <w:lastRenderedPageBreak/>
        <w:t>neoprávněně na trhu působících subjektů a tím zajištění stejných podmínek pro všechny podnikatele v sektoru elektronických komunikací.“</w:t>
      </w:r>
      <w:r w:rsidR="00BD7383" w:rsidRPr="00BD7383">
        <w:rPr>
          <w:rFonts w:ascii="Arial" w:hAnsi="Arial" w:cs="Arial"/>
          <w:sz w:val="22"/>
          <w:szCs w:val="22"/>
        </w:rPr>
        <w:t xml:space="preserve"> (s</w:t>
      </w:r>
      <w:r w:rsidR="00EB7DE0">
        <w:rPr>
          <w:rFonts w:ascii="Arial" w:hAnsi="Arial" w:cs="Arial"/>
          <w:sz w:val="22"/>
          <w:szCs w:val="22"/>
        </w:rPr>
        <w:t>tr</w:t>
      </w:r>
      <w:r w:rsidR="00BD7383" w:rsidRPr="00BD7383">
        <w:rPr>
          <w:rFonts w:ascii="Arial" w:hAnsi="Arial" w:cs="Arial"/>
          <w:sz w:val="22"/>
          <w:szCs w:val="22"/>
        </w:rPr>
        <w:t>. 35)</w:t>
      </w:r>
      <w:r w:rsidR="00DD05BD">
        <w:rPr>
          <w:rFonts w:ascii="Arial" w:hAnsi="Arial" w:cs="Arial"/>
          <w:sz w:val="22"/>
          <w:szCs w:val="22"/>
        </w:rPr>
        <w:t>.</w:t>
      </w:r>
      <w:r w:rsidR="002B7CDF">
        <w:rPr>
          <w:rFonts w:ascii="Arial" w:hAnsi="Arial" w:cs="Arial"/>
          <w:sz w:val="22"/>
          <w:szCs w:val="22"/>
        </w:rPr>
        <w:t xml:space="preserve"> </w:t>
      </w:r>
      <w:r w:rsidR="002B7CDF" w:rsidRPr="00007619">
        <w:rPr>
          <w:rFonts w:ascii="Arial" w:hAnsi="Arial" w:cs="Arial"/>
          <w:sz w:val="22"/>
          <w:szCs w:val="22"/>
        </w:rPr>
        <w:t xml:space="preserve">V této souvislosti je pozoruhodné, s jakou troufalostí a drzostí někteří šedí operátoři </w:t>
      </w:r>
      <w:r w:rsidR="00943F10" w:rsidRPr="00007619">
        <w:rPr>
          <w:rFonts w:ascii="Arial" w:hAnsi="Arial" w:cs="Arial"/>
          <w:sz w:val="22"/>
          <w:szCs w:val="22"/>
        </w:rPr>
        <w:t xml:space="preserve">a spolky </w:t>
      </w:r>
      <w:r w:rsidR="002B7CDF" w:rsidRPr="00007619">
        <w:rPr>
          <w:rFonts w:ascii="Arial" w:hAnsi="Arial" w:cs="Arial"/>
          <w:sz w:val="22"/>
          <w:szCs w:val="22"/>
        </w:rPr>
        <w:t xml:space="preserve">poskytují svoje služby na </w:t>
      </w:r>
      <w:r w:rsidR="00943F10" w:rsidRPr="00007619">
        <w:rPr>
          <w:rFonts w:ascii="Arial" w:hAnsi="Arial" w:cs="Arial"/>
          <w:sz w:val="22"/>
          <w:szCs w:val="22"/>
        </w:rPr>
        <w:t xml:space="preserve">zcela </w:t>
      </w:r>
      <w:r w:rsidR="002B7CDF" w:rsidRPr="00007619">
        <w:rPr>
          <w:rFonts w:ascii="Arial" w:hAnsi="Arial" w:cs="Arial"/>
          <w:sz w:val="22"/>
          <w:szCs w:val="22"/>
        </w:rPr>
        <w:t>nelegální bázi</w:t>
      </w:r>
      <w:r w:rsidR="00943F10" w:rsidRPr="00007619">
        <w:rPr>
          <w:rFonts w:ascii="Arial" w:hAnsi="Arial" w:cs="Arial"/>
          <w:sz w:val="22"/>
          <w:szCs w:val="22"/>
        </w:rPr>
        <w:t xml:space="preserve"> před zraky ČTÚ</w:t>
      </w:r>
      <w:r w:rsidR="00CB303B" w:rsidRPr="00007619">
        <w:rPr>
          <w:rFonts w:ascii="Arial" w:hAnsi="Arial" w:cs="Arial"/>
          <w:sz w:val="22"/>
          <w:szCs w:val="22"/>
        </w:rPr>
        <w:t xml:space="preserve"> (tj. </w:t>
      </w:r>
      <w:r w:rsidR="00007619">
        <w:rPr>
          <w:rFonts w:ascii="Arial" w:hAnsi="Arial" w:cs="Arial"/>
          <w:sz w:val="22"/>
          <w:szCs w:val="22"/>
        </w:rPr>
        <w:t xml:space="preserve">často </w:t>
      </w:r>
      <w:r w:rsidR="00CB303B" w:rsidRPr="00007619">
        <w:rPr>
          <w:rFonts w:ascii="Arial" w:hAnsi="Arial" w:cs="Arial"/>
          <w:sz w:val="22"/>
          <w:szCs w:val="22"/>
        </w:rPr>
        <w:t xml:space="preserve">již bez nějakého </w:t>
      </w:r>
      <w:r w:rsidR="00007619">
        <w:rPr>
          <w:rFonts w:ascii="Arial" w:hAnsi="Arial" w:cs="Arial"/>
          <w:sz w:val="22"/>
          <w:szCs w:val="22"/>
        </w:rPr>
        <w:t xml:space="preserve">většího </w:t>
      </w:r>
      <w:r w:rsidR="00CB303B" w:rsidRPr="00007619">
        <w:rPr>
          <w:rFonts w:ascii="Arial" w:hAnsi="Arial" w:cs="Arial"/>
          <w:sz w:val="22"/>
          <w:szCs w:val="22"/>
        </w:rPr>
        <w:t>systematického skrývání)</w:t>
      </w:r>
      <w:r w:rsidR="002B7CDF" w:rsidRPr="00007619">
        <w:rPr>
          <w:rFonts w:ascii="Arial" w:hAnsi="Arial" w:cs="Arial"/>
          <w:sz w:val="22"/>
          <w:szCs w:val="22"/>
        </w:rPr>
        <w:t>. Na webu ČTÚ se dne 17.</w:t>
      </w:r>
      <w:r w:rsidR="00943F10" w:rsidRPr="00007619">
        <w:rPr>
          <w:rFonts w:ascii="Arial" w:hAnsi="Arial" w:cs="Arial"/>
          <w:sz w:val="22"/>
          <w:szCs w:val="22"/>
        </w:rPr>
        <w:t xml:space="preserve"> </w:t>
      </w:r>
      <w:r w:rsidR="002B7CDF" w:rsidRPr="00007619">
        <w:rPr>
          <w:rFonts w:ascii="Arial" w:hAnsi="Arial" w:cs="Arial"/>
          <w:sz w:val="22"/>
          <w:szCs w:val="22"/>
        </w:rPr>
        <w:t>10.</w:t>
      </w:r>
      <w:r w:rsidR="00943F10" w:rsidRPr="00007619">
        <w:rPr>
          <w:rFonts w:ascii="Arial" w:hAnsi="Arial" w:cs="Arial"/>
          <w:sz w:val="22"/>
          <w:szCs w:val="22"/>
        </w:rPr>
        <w:t xml:space="preserve"> </w:t>
      </w:r>
      <w:r w:rsidR="002B7CDF" w:rsidRPr="00007619">
        <w:rPr>
          <w:rFonts w:ascii="Arial" w:hAnsi="Arial" w:cs="Arial"/>
          <w:sz w:val="22"/>
          <w:szCs w:val="22"/>
        </w:rPr>
        <w:t xml:space="preserve">2017 objevily připomínky </w:t>
      </w:r>
      <w:r w:rsidR="001F1EAC" w:rsidRPr="00007619">
        <w:rPr>
          <w:rFonts w:ascii="Arial" w:hAnsi="Arial" w:cs="Arial"/>
          <w:sz w:val="22"/>
          <w:szCs w:val="22"/>
        </w:rPr>
        <w:t xml:space="preserve">pana </w:t>
      </w:r>
      <w:r w:rsidR="002B7CDF" w:rsidRPr="00007619">
        <w:rPr>
          <w:rFonts w:ascii="Arial" w:hAnsi="Arial" w:cs="Arial"/>
          <w:sz w:val="22"/>
          <w:szCs w:val="22"/>
        </w:rPr>
        <w:t xml:space="preserve">Pavla </w:t>
      </w:r>
      <w:proofErr w:type="spellStart"/>
      <w:r w:rsidR="002B7CDF" w:rsidRPr="00007619">
        <w:rPr>
          <w:rFonts w:ascii="Arial" w:hAnsi="Arial" w:cs="Arial"/>
          <w:sz w:val="22"/>
          <w:szCs w:val="22"/>
        </w:rPr>
        <w:t>Humpolíka</w:t>
      </w:r>
      <w:proofErr w:type="spellEnd"/>
      <w:r w:rsidR="002B7CDF" w:rsidRPr="00007619">
        <w:rPr>
          <w:rFonts w:ascii="Arial" w:hAnsi="Arial" w:cs="Arial"/>
          <w:sz w:val="22"/>
          <w:szCs w:val="22"/>
        </w:rPr>
        <w:t xml:space="preserve"> k Návrhu testu tří kritérií pro Trh mobilních služeb</w:t>
      </w:r>
      <w:r w:rsidR="00943F10" w:rsidRPr="00007619">
        <w:rPr>
          <w:rFonts w:ascii="Arial" w:hAnsi="Arial" w:cs="Arial"/>
          <w:sz w:val="22"/>
          <w:szCs w:val="22"/>
        </w:rPr>
        <w:t xml:space="preserve">, kde neváhá vystupovat proti společnosti O2 a ČTÚ </w:t>
      </w:r>
      <w:r w:rsidR="00AC16B8" w:rsidRPr="00007619">
        <w:rPr>
          <w:rFonts w:ascii="Arial" w:hAnsi="Arial" w:cs="Arial"/>
          <w:sz w:val="22"/>
          <w:szCs w:val="22"/>
        </w:rPr>
        <w:t>upozorňováním na proběhlou kauzu</w:t>
      </w:r>
      <w:r w:rsidR="00943F10" w:rsidRPr="00007619">
        <w:rPr>
          <w:rFonts w:ascii="Arial" w:hAnsi="Arial" w:cs="Arial"/>
          <w:sz w:val="22"/>
          <w:szCs w:val="22"/>
        </w:rPr>
        <w:t xml:space="preserve"> zcela typického nelegálního šedého operátora </w:t>
      </w:r>
      <w:proofErr w:type="spellStart"/>
      <w:r w:rsidR="00943F10" w:rsidRPr="00007619">
        <w:rPr>
          <w:rFonts w:ascii="Arial" w:hAnsi="Arial" w:cs="Arial"/>
          <w:sz w:val="22"/>
          <w:szCs w:val="22"/>
        </w:rPr>
        <w:t>Aspektinvest</w:t>
      </w:r>
      <w:proofErr w:type="spellEnd"/>
      <w:r w:rsidR="00943F10" w:rsidRPr="00007619">
        <w:rPr>
          <w:rFonts w:ascii="Arial" w:hAnsi="Arial" w:cs="Arial"/>
          <w:sz w:val="22"/>
          <w:szCs w:val="22"/>
        </w:rPr>
        <w:t xml:space="preserve">, </w:t>
      </w:r>
      <w:r w:rsidR="001F1EAC" w:rsidRPr="00007619">
        <w:rPr>
          <w:rFonts w:ascii="Arial" w:hAnsi="Arial" w:cs="Arial"/>
          <w:sz w:val="22"/>
          <w:szCs w:val="22"/>
        </w:rPr>
        <w:t xml:space="preserve">jehož činnost pan </w:t>
      </w:r>
      <w:r w:rsidR="00AC16B8" w:rsidRPr="00007619">
        <w:rPr>
          <w:rFonts w:ascii="Arial" w:hAnsi="Arial" w:cs="Arial"/>
          <w:sz w:val="22"/>
          <w:szCs w:val="22"/>
        </w:rPr>
        <w:t xml:space="preserve">Pavel </w:t>
      </w:r>
      <w:proofErr w:type="spellStart"/>
      <w:r w:rsidR="00AC16B8" w:rsidRPr="00007619">
        <w:rPr>
          <w:rFonts w:ascii="Arial" w:hAnsi="Arial" w:cs="Arial"/>
          <w:sz w:val="22"/>
          <w:szCs w:val="22"/>
        </w:rPr>
        <w:t>Humpolík</w:t>
      </w:r>
      <w:proofErr w:type="spellEnd"/>
      <w:r w:rsidR="00AC16B8" w:rsidRPr="00007619">
        <w:rPr>
          <w:rFonts w:ascii="Arial" w:hAnsi="Arial" w:cs="Arial"/>
          <w:sz w:val="22"/>
          <w:szCs w:val="22"/>
        </w:rPr>
        <w:t xml:space="preserve"> </w:t>
      </w:r>
      <w:r w:rsidR="00943F10" w:rsidRPr="00007619">
        <w:rPr>
          <w:rFonts w:ascii="Arial" w:hAnsi="Arial" w:cs="Arial"/>
          <w:sz w:val="22"/>
          <w:szCs w:val="22"/>
        </w:rPr>
        <w:t xml:space="preserve">sám organizoval a provozoval a který na základě oprávněných kroků společnosti O2 byl </w:t>
      </w:r>
      <w:r w:rsidR="00AC16B8" w:rsidRPr="00007619">
        <w:rPr>
          <w:rFonts w:ascii="Arial" w:hAnsi="Arial" w:cs="Arial"/>
          <w:sz w:val="22"/>
          <w:szCs w:val="22"/>
        </w:rPr>
        <w:t xml:space="preserve">již </w:t>
      </w:r>
      <w:r w:rsidR="00943F10" w:rsidRPr="00007619">
        <w:rPr>
          <w:rFonts w:ascii="Arial" w:hAnsi="Arial" w:cs="Arial"/>
          <w:sz w:val="22"/>
          <w:szCs w:val="22"/>
        </w:rPr>
        <w:t>nucen ukončit svou činnost.</w:t>
      </w:r>
    </w:p>
    <w:p w14:paraId="3E726A97" w14:textId="77777777" w:rsidR="00962485" w:rsidRDefault="00962485" w:rsidP="00047F1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66FEBFC" w14:textId="7F40A468" w:rsidR="00962485" w:rsidRPr="0083047F" w:rsidRDefault="00962485" w:rsidP="00047F1D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 výše uvedeného a </w:t>
      </w:r>
      <w:r w:rsidR="00FF60C0">
        <w:rPr>
          <w:rFonts w:ascii="Arial" w:hAnsi="Arial" w:cs="Arial"/>
          <w:sz w:val="22"/>
          <w:szCs w:val="22"/>
        </w:rPr>
        <w:t xml:space="preserve">rovněž i </w:t>
      </w:r>
      <w:r>
        <w:rPr>
          <w:rFonts w:ascii="Arial" w:hAnsi="Arial" w:cs="Arial"/>
          <w:sz w:val="22"/>
          <w:szCs w:val="22"/>
        </w:rPr>
        <w:t>z</w:t>
      </w:r>
      <w:r w:rsidR="00FF60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analýzy provedené </w:t>
      </w:r>
      <w:r w:rsidR="00FF60C0">
        <w:rPr>
          <w:rFonts w:ascii="Arial" w:hAnsi="Arial" w:cs="Arial"/>
          <w:sz w:val="22"/>
          <w:szCs w:val="22"/>
        </w:rPr>
        <w:t xml:space="preserve">ČTÚ </w:t>
      </w:r>
      <w:r>
        <w:rPr>
          <w:rFonts w:ascii="Arial" w:hAnsi="Arial" w:cs="Arial"/>
          <w:sz w:val="22"/>
          <w:szCs w:val="22"/>
        </w:rPr>
        <w:t>vyplývá, že</w:t>
      </w:r>
      <w:r w:rsidR="00FF60C0">
        <w:rPr>
          <w:rFonts w:ascii="Arial" w:hAnsi="Arial" w:cs="Arial"/>
          <w:sz w:val="22"/>
          <w:szCs w:val="22"/>
        </w:rPr>
        <w:t xml:space="preserve"> </w:t>
      </w:r>
      <w:r w:rsidR="00FF60C0" w:rsidRPr="0083047F">
        <w:rPr>
          <w:rFonts w:ascii="Arial" w:hAnsi="Arial" w:cs="Arial"/>
          <w:b/>
          <w:sz w:val="22"/>
          <w:szCs w:val="22"/>
        </w:rPr>
        <w:t xml:space="preserve">tvrzení ČTÚ o existenci značných překážek vstupu na relevantní trh nemá vůbec žádnou hmatatelnou oporu, a proto test nemůže vyjít. Ve skutečnosti dokonce </w:t>
      </w:r>
      <w:r w:rsidR="00FF60C0" w:rsidRPr="00CE3BDF">
        <w:rPr>
          <w:rFonts w:ascii="Arial" w:hAnsi="Arial" w:cs="Arial"/>
          <w:b/>
          <w:sz w:val="22"/>
          <w:szCs w:val="22"/>
          <w:u w:val="single"/>
        </w:rPr>
        <w:t xml:space="preserve">neexistují ani </w:t>
      </w:r>
      <w:r w:rsidRPr="00CE3BDF">
        <w:rPr>
          <w:rFonts w:ascii="Arial" w:hAnsi="Arial" w:cs="Arial"/>
          <w:b/>
          <w:sz w:val="22"/>
          <w:szCs w:val="22"/>
          <w:u w:val="single"/>
        </w:rPr>
        <w:t>dočasné strukturální, právní nebo regulační</w:t>
      </w:r>
      <w:r w:rsidR="00FF60C0" w:rsidRPr="00CE3BD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60C0" w:rsidRPr="0083047F">
        <w:rPr>
          <w:rFonts w:ascii="Arial" w:hAnsi="Arial" w:cs="Arial"/>
          <w:b/>
          <w:sz w:val="22"/>
          <w:szCs w:val="22"/>
        </w:rPr>
        <w:t>překážky, které by sami o sobě nestačili na splnění testu</w:t>
      </w:r>
      <w:r w:rsidRPr="00CE3BDF">
        <w:rPr>
          <w:rFonts w:ascii="Arial" w:hAnsi="Arial" w:cs="Arial"/>
          <w:b/>
          <w:sz w:val="22"/>
          <w:szCs w:val="22"/>
        </w:rPr>
        <w:t>.</w:t>
      </w:r>
      <w:r w:rsidR="00BD7383" w:rsidRPr="00CE3BDF">
        <w:rPr>
          <w:rFonts w:ascii="Arial" w:hAnsi="Arial" w:cs="Arial"/>
          <w:b/>
          <w:sz w:val="22"/>
          <w:szCs w:val="22"/>
        </w:rPr>
        <w:t xml:space="preserve"> </w:t>
      </w:r>
      <w:r w:rsidR="00FF60C0" w:rsidRPr="00CE3BDF">
        <w:rPr>
          <w:rFonts w:ascii="Arial" w:hAnsi="Arial" w:cs="Arial"/>
          <w:b/>
          <w:sz w:val="22"/>
          <w:szCs w:val="22"/>
        </w:rPr>
        <w:t xml:space="preserve">ČTÚ </w:t>
      </w:r>
      <w:r w:rsidR="00DD05BD">
        <w:rPr>
          <w:rFonts w:ascii="Arial" w:hAnsi="Arial" w:cs="Arial"/>
          <w:b/>
          <w:sz w:val="22"/>
          <w:szCs w:val="22"/>
        </w:rPr>
        <w:t xml:space="preserve">však </w:t>
      </w:r>
      <w:r w:rsidR="00BD7383" w:rsidRPr="0083047F">
        <w:rPr>
          <w:rFonts w:ascii="Arial" w:hAnsi="Arial" w:cs="Arial"/>
          <w:b/>
          <w:sz w:val="22"/>
          <w:szCs w:val="22"/>
        </w:rPr>
        <w:t>musí</w:t>
      </w:r>
      <w:r w:rsidR="00DD05BD">
        <w:rPr>
          <w:rFonts w:ascii="Arial" w:hAnsi="Arial" w:cs="Arial"/>
          <w:b/>
          <w:sz w:val="22"/>
          <w:szCs w:val="22"/>
        </w:rPr>
        <w:t>,</w:t>
      </w:r>
      <w:r w:rsidR="00BD7383" w:rsidRPr="0083047F">
        <w:rPr>
          <w:rFonts w:ascii="Arial" w:hAnsi="Arial" w:cs="Arial"/>
          <w:b/>
          <w:sz w:val="22"/>
          <w:szCs w:val="22"/>
        </w:rPr>
        <w:t xml:space="preserve"> </w:t>
      </w:r>
      <w:r w:rsidR="00482794" w:rsidRPr="0083047F">
        <w:rPr>
          <w:rFonts w:ascii="Arial" w:hAnsi="Arial" w:cs="Arial"/>
          <w:b/>
          <w:sz w:val="22"/>
          <w:szCs w:val="22"/>
        </w:rPr>
        <w:t>ve spolupráci se sektorem</w:t>
      </w:r>
      <w:r w:rsidR="00DD05BD">
        <w:rPr>
          <w:rFonts w:ascii="Arial" w:hAnsi="Arial" w:cs="Arial"/>
          <w:b/>
          <w:sz w:val="22"/>
          <w:szCs w:val="22"/>
        </w:rPr>
        <w:t>,</w:t>
      </w:r>
      <w:r w:rsidR="00482794" w:rsidRPr="0083047F">
        <w:rPr>
          <w:rFonts w:ascii="Arial" w:hAnsi="Arial" w:cs="Arial"/>
          <w:b/>
          <w:sz w:val="22"/>
          <w:szCs w:val="22"/>
        </w:rPr>
        <w:t xml:space="preserve"> nastavit pravidla, která znemožní neoprávněné fungování „šedých operátorů“ na trhu</w:t>
      </w:r>
      <w:r w:rsidR="00FF60C0" w:rsidRPr="0083047F">
        <w:rPr>
          <w:rFonts w:ascii="Arial" w:hAnsi="Arial" w:cs="Arial"/>
          <w:b/>
          <w:sz w:val="22"/>
          <w:szCs w:val="22"/>
        </w:rPr>
        <w:t>, jak je uvedeno výše.</w:t>
      </w:r>
    </w:p>
    <w:p w14:paraId="55B15497" w14:textId="77777777" w:rsidR="007B4D36" w:rsidRDefault="007B4D36" w:rsidP="00047F1D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0F0E29F0" w14:textId="77777777" w:rsidR="00015FD4" w:rsidRDefault="00015FD4" w:rsidP="00047F1D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0F071374" w14:textId="0E725272" w:rsidR="007B4D36" w:rsidRDefault="00DA3D7E" w:rsidP="00265D7D">
      <w:pPr>
        <w:pStyle w:val="Nadpis2"/>
      </w:pPr>
      <w:r w:rsidRPr="008E2946">
        <w:t>Nelogický vztah grafů č. 10 a 12 ke grafům č. 14 a 15</w:t>
      </w:r>
      <w:r w:rsidR="00C61637">
        <w:t xml:space="preserve"> – str. 38-41</w:t>
      </w:r>
    </w:p>
    <w:p w14:paraId="229115D4" w14:textId="77777777" w:rsidR="008E2946" w:rsidRDefault="008E2946" w:rsidP="008E2946">
      <w:pPr>
        <w:ind w:left="360"/>
        <w:rPr>
          <w:rFonts w:ascii="Arial" w:hAnsi="Arial" w:cs="Arial"/>
          <w:i/>
          <w:sz w:val="22"/>
          <w:szCs w:val="22"/>
        </w:rPr>
      </w:pPr>
    </w:p>
    <w:p w14:paraId="218973AA" w14:textId="77777777" w:rsidR="008E2946" w:rsidRDefault="008E2946" w:rsidP="008E2946">
      <w:pPr>
        <w:ind w:left="360"/>
        <w:rPr>
          <w:rFonts w:ascii="Arial" w:hAnsi="Arial" w:cs="Arial"/>
          <w:i/>
          <w:sz w:val="22"/>
          <w:szCs w:val="22"/>
        </w:rPr>
      </w:pPr>
      <w:r w:rsidRPr="008E2946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14:paraId="32FF25B5" w14:textId="77777777" w:rsidR="008E2946" w:rsidRDefault="008E2946" w:rsidP="008E294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F9C1FD3" w14:textId="1F0AAEF8" w:rsidR="008E2946" w:rsidRDefault="008E2946" w:rsidP="008E2946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E2946">
        <w:rPr>
          <w:rFonts w:ascii="Arial" w:hAnsi="Arial" w:cs="Arial"/>
          <w:b/>
          <w:sz w:val="22"/>
          <w:szCs w:val="22"/>
        </w:rPr>
        <w:t>Vysvětlení vztahu</w:t>
      </w:r>
      <w:r w:rsidR="00FF60C0">
        <w:rPr>
          <w:rFonts w:ascii="Arial" w:hAnsi="Arial" w:cs="Arial"/>
          <w:b/>
          <w:sz w:val="22"/>
          <w:szCs w:val="22"/>
        </w:rPr>
        <w:t xml:space="preserve"> anebo oprava</w:t>
      </w:r>
      <w:r w:rsidRPr="008E2946">
        <w:rPr>
          <w:rFonts w:ascii="Arial" w:hAnsi="Arial" w:cs="Arial"/>
          <w:b/>
          <w:sz w:val="22"/>
          <w:szCs w:val="22"/>
        </w:rPr>
        <w:t xml:space="preserve"> grafů č. 10 a 12 „Vývoj maloobchodních tržních podílů na základě počtu SIM karet na segmentu A“ (s/bez zahrnutím podílu majetkově propojených MVNO do podílu příslušných MNO) a grafů č. 14 a 15 „Tržní podíly na základě počtu SIM karet na segmentu A1/A2 k 31.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E2946">
        <w:rPr>
          <w:rFonts w:ascii="Arial" w:hAnsi="Arial" w:cs="Arial"/>
          <w:b/>
          <w:sz w:val="22"/>
          <w:szCs w:val="22"/>
        </w:rPr>
        <w:t>12.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E2946">
        <w:rPr>
          <w:rFonts w:ascii="Arial" w:hAnsi="Arial" w:cs="Arial"/>
          <w:b/>
          <w:sz w:val="22"/>
          <w:szCs w:val="22"/>
        </w:rPr>
        <w:t>2016.</w:t>
      </w:r>
    </w:p>
    <w:p w14:paraId="742EAF0B" w14:textId="77777777" w:rsidR="00082320" w:rsidRDefault="00082320" w:rsidP="008E2946">
      <w:pPr>
        <w:ind w:firstLine="357"/>
        <w:rPr>
          <w:rFonts w:ascii="Arial" w:hAnsi="Arial" w:cs="Arial"/>
          <w:i/>
          <w:sz w:val="22"/>
          <w:szCs w:val="22"/>
        </w:rPr>
      </w:pPr>
    </w:p>
    <w:p w14:paraId="3BB081E7" w14:textId="77777777" w:rsidR="008E2946" w:rsidRPr="0002076A" w:rsidRDefault="008E2946" w:rsidP="008E2946">
      <w:pPr>
        <w:ind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5E47A670" w14:textId="748DD501" w:rsidR="008E2946" w:rsidRDefault="008E2946" w:rsidP="008E2946">
      <w:pPr>
        <w:ind w:left="357"/>
        <w:jc w:val="both"/>
        <w:rPr>
          <w:rFonts w:ascii="Arial" w:hAnsi="Arial" w:cs="Arial"/>
          <w:b/>
        </w:rPr>
      </w:pPr>
    </w:p>
    <w:p w14:paraId="21274EE1" w14:textId="6FB10367" w:rsidR="008E2946" w:rsidRDefault="00457AFB" w:rsidP="00EA20A3">
      <w:pPr>
        <w:ind w:left="357"/>
        <w:jc w:val="both"/>
        <w:rPr>
          <w:rFonts w:ascii="Arial" w:hAnsi="Arial" w:cs="Arial"/>
          <w:sz w:val="22"/>
          <w:szCs w:val="22"/>
        </w:rPr>
      </w:pPr>
      <w:r w:rsidRPr="00EA20A3">
        <w:rPr>
          <w:rFonts w:ascii="Arial" w:hAnsi="Arial" w:cs="Arial"/>
          <w:sz w:val="22"/>
          <w:szCs w:val="22"/>
        </w:rPr>
        <w:t xml:space="preserve">Pokud </w:t>
      </w:r>
      <w:r w:rsidR="00EA20A3" w:rsidRPr="00EA20A3">
        <w:rPr>
          <w:rFonts w:ascii="Arial" w:hAnsi="Arial" w:cs="Arial"/>
          <w:sz w:val="22"/>
          <w:szCs w:val="22"/>
        </w:rPr>
        <w:t xml:space="preserve">na grafech č. 10 a 12 prezentuje ČTÚ </w:t>
      </w:r>
      <w:r w:rsidR="00EA20A3">
        <w:rPr>
          <w:rFonts w:ascii="Arial" w:hAnsi="Arial" w:cs="Arial"/>
          <w:sz w:val="22"/>
          <w:szCs w:val="22"/>
        </w:rPr>
        <w:t xml:space="preserve">nenulový </w:t>
      </w:r>
      <w:r w:rsidR="00EA20A3" w:rsidRPr="00EA20A3">
        <w:rPr>
          <w:rFonts w:ascii="Arial" w:hAnsi="Arial" w:cs="Arial"/>
          <w:sz w:val="22"/>
          <w:szCs w:val="22"/>
        </w:rPr>
        <w:t xml:space="preserve">podíl MVNO </w:t>
      </w:r>
      <w:r w:rsidR="00EA20A3">
        <w:rPr>
          <w:rFonts w:ascii="Arial" w:hAnsi="Arial" w:cs="Arial"/>
          <w:sz w:val="22"/>
          <w:szCs w:val="22"/>
        </w:rPr>
        <w:t xml:space="preserve">na maloobchodním trhu, není možné na grafech č. 14 a č. 15 prezentovat </w:t>
      </w:r>
      <w:r w:rsidR="00EA20A3" w:rsidRPr="00EA20A3">
        <w:rPr>
          <w:rFonts w:ascii="Arial" w:hAnsi="Arial" w:cs="Arial"/>
          <w:b/>
          <w:sz w:val="22"/>
          <w:szCs w:val="22"/>
        </w:rPr>
        <w:t>tržní podíly</w:t>
      </w:r>
      <w:r w:rsidR="00EA20A3">
        <w:rPr>
          <w:rFonts w:ascii="Arial" w:hAnsi="Arial" w:cs="Arial"/>
          <w:sz w:val="22"/>
          <w:szCs w:val="22"/>
        </w:rPr>
        <w:t xml:space="preserve"> MNO, které se v součtu rovnají 100 %.</w:t>
      </w:r>
      <w:r w:rsidR="00E74F06">
        <w:rPr>
          <w:rFonts w:ascii="Arial" w:hAnsi="Arial" w:cs="Arial"/>
          <w:sz w:val="22"/>
          <w:szCs w:val="22"/>
        </w:rPr>
        <w:t xml:space="preserve"> </w:t>
      </w:r>
      <w:r w:rsidR="00F74723">
        <w:rPr>
          <w:rFonts w:ascii="Arial" w:hAnsi="Arial" w:cs="Arial"/>
          <w:sz w:val="22"/>
          <w:szCs w:val="22"/>
        </w:rPr>
        <w:t xml:space="preserve">Pokud budeme ignorovat tuto zavádějící terminologii, stejně se prezentované podíly MNO na grafech č. 10 a 12 liší od dat prezentovaných na grafech č. 14 a 15, které by měly být </w:t>
      </w:r>
      <w:r w:rsidR="00E55353">
        <w:rPr>
          <w:rFonts w:ascii="Arial" w:hAnsi="Arial" w:cs="Arial"/>
          <w:sz w:val="22"/>
          <w:szCs w:val="22"/>
        </w:rPr>
        <w:t xml:space="preserve">jejich </w:t>
      </w:r>
      <w:r w:rsidR="00F74723">
        <w:rPr>
          <w:rFonts w:ascii="Arial" w:hAnsi="Arial" w:cs="Arial"/>
          <w:sz w:val="22"/>
          <w:szCs w:val="22"/>
        </w:rPr>
        <w:t>pouhou podmnožinou.</w:t>
      </w:r>
    </w:p>
    <w:p w14:paraId="2D6B8254" w14:textId="77777777" w:rsidR="00015FD4" w:rsidRDefault="00015FD4" w:rsidP="00EA20A3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5270E48" w14:textId="77777777" w:rsidR="00E55353" w:rsidRDefault="00E55353" w:rsidP="00EA20A3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F028218" w14:textId="23F464C4" w:rsidR="00DA3D7E" w:rsidRPr="002959D1" w:rsidRDefault="00B12A90" w:rsidP="00265D7D">
      <w:pPr>
        <w:pStyle w:val="Nadpis2"/>
      </w:pPr>
      <w:r w:rsidRPr="002959D1">
        <w:t>Chybná data v grafu č. 33 prezentující mezinárodní srovnání se zeměmi EHP</w:t>
      </w:r>
      <w:r w:rsidR="00C61637">
        <w:t xml:space="preserve"> – str. 54-55</w:t>
      </w:r>
    </w:p>
    <w:p w14:paraId="502BDB8B" w14:textId="77777777" w:rsidR="00B12A90" w:rsidRDefault="00B12A90" w:rsidP="00B12A90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14:paraId="22AF181F" w14:textId="4A3D6A54" w:rsidR="00B12A90" w:rsidRPr="00024677" w:rsidRDefault="00B12A90" w:rsidP="00024677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024677">
        <w:rPr>
          <w:rFonts w:ascii="Arial" w:hAnsi="Arial" w:cs="Arial"/>
          <w:i/>
          <w:sz w:val="22"/>
          <w:szCs w:val="22"/>
        </w:rPr>
        <w:t>Návrh na doplnění, změnu, zrušení nebo nahrazení textu ustanovení návrhu opatření:</w:t>
      </w:r>
    </w:p>
    <w:p w14:paraId="317E02C7" w14:textId="77777777" w:rsidR="00B12A90" w:rsidRDefault="00B12A90" w:rsidP="00B12A90">
      <w:pPr>
        <w:pStyle w:val="Odstavecseseznamem"/>
        <w:jc w:val="both"/>
        <w:rPr>
          <w:rFonts w:ascii="Arial" w:hAnsi="Arial" w:cs="Arial"/>
          <w:i/>
          <w:sz w:val="22"/>
          <w:szCs w:val="22"/>
        </w:rPr>
      </w:pPr>
    </w:p>
    <w:p w14:paraId="12AF1D3F" w14:textId="4E5766DD" w:rsidR="00B12A90" w:rsidRDefault="00B12A90" w:rsidP="00024677">
      <w:pPr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Oprava nebo odstranění grafu č. 33, který v porovnání s grafem č. 32</w:t>
      </w:r>
      <w:r w:rsidR="003130EC">
        <w:rPr>
          <w:rFonts w:ascii="Arial" w:hAnsi="Arial" w:cs="Arial"/>
          <w:b/>
          <w:sz w:val="22"/>
          <w:szCs w:val="22"/>
        </w:rPr>
        <w:t xml:space="preserve"> ani</w:t>
      </w:r>
      <w:r>
        <w:rPr>
          <w:rFonts w:ascii="Arial" w:hAnsi="Arial" w:cs="Arial"/>
          <w:b/>
          <w:sz w:val="22"/>
          <w:szCs w:val="22"/>
        </w:rPr>
        <w:t xml:space="preserve"> s daty od renomovaných </w:t>
      </w:r>
      <w:r w:rsidR="003130EC">
        <w:rPr>
          <w:rFonts w:ascii="Arial" w:hAnsi="Arial" w:cs="Arial"/>
          <w:b/>
          <w:sz w:val="22"/>
          <w:szCs w:val="22"/>
        </w:rPr>
        <w:t xml:space="preserve">zahraničních </w:t>
      </w:r>
      <w:r>
        <w:rPr>
          <w:rFonts w:ascii="Arial" w:hAnsi="Arial" w:cs="Arial"/>
          <w:b/>
          <w:sz w:val="22"/>
          <w:szCs w:val="22"/>
        </w:rPr>
        <w:t>společností zabývajícími se evropským telekomunikačním trhem nedává smysl.</w:t>
      </w:r>
    </w:p>
    <w:p w14:paraId="3124F0C8" w14:textId="77777777" w:rsidR="00B12A90" w:rsidRDefault="00B12A90" w:rsidP="00B12A90">
      <w:pPr>
        <w:pStyle w:val="Odstavecseseznamem"/>
        <w:jc w:val="both"/>
        <w:rPr>
          <w:rFonts w:ascii="Arial" w:hAnsi="Arial" w:cs="Arial"/>
          <w:i/>
          <w:sz w:val="22"/>
          <w:szCs w:val="22"/>
        </w:rPr>
      </w:pPr>
    </w:p>
    <w:p w14:paraId="68FB7B1E" w14:textId="77777777" w:rsidR="00B12A90" w:rsidRPr="0002076A" w:rsidRDefault="00B12A90" w:rsidP="00024677">
      <w:pPr>
        <w:ind w:firstLine="360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3D924AD3" w14:textId="77777777" w:rsidR="00B12A90" w:rsidRDefault="00B12A90" w:rsidP="00B12A90">
      <w:pPr>
        <w:pStyle w:val="Odstavecseseznamem"/>
        <w:jc w:val="both"/>
        <w:rPr>
          <w:rFonts w:ascii="Arial" w:hAnsi="Arial" w:cs="Arial"/>
          <w:i/>
          <w:sz w:val="22"/>
          <w:szCs w:val="22"/>
        </w:rPr>
      </w:pPr>
    </w:p>
    <w:p w14:paraId="1AB6055E" w14:textId="5E329955" w:rsidR="00DD05BD" w:rsidRDefault="00B12A90" w:rsidP="00024677">
      <w:pPr>
        <w:ind w:left="360"/>
        <w:jc w:val="both"/>
        <w:rPr>
          <w:rFonts w:ascii="Arial" w:hAnsi="Arial" w:cs="Arial"/>
          <w:sz w:val="22"/>
          <w:szCs w:val="22"/>
        </w:rPr>
      </w:pPr>
      <w:r w:rsidRPr="00024677">
        <w:rPr>
          <w:rFonts w:ascii="Arial" w:hAnsi="Arial" w:cs="Arial"/>
          <w:sz w:val="22"/>
          <w:szCs w:val="22"/>
        </w:rPr>
        <w:t xml:space="preserve">Graf č. 32, který prezentuje data za rok 2015, </w:t>
      </w:r>
      <w:r w:rsidR="003130EC">
        <w:rPr>
          <w:rFonts w:ascii="Arial" w:hAnsi="Arial" w:cs="Arial"/>
          <w:sz w:val="22"/>
          <w:szCs w:val="22"/>
        </w:rPr>
        <w:t xml:space="preserve">rámcově </w:t>
      </w:r>
      <w:r w:rsidRPr="00024677">
        <w:rPr>
          <w:rFonts w:ascii="Arial" w:hAnsi="Arial" w:cs="Arial"/>
          <w:sz w:val="22"/>
          <w:szCs w:val="22"/>
        </w:rPr>
        <w:t>odpovídá datům, které má společnost O2</w:t>
      </w:r>
      <w:r w:rsidR="00713561">
        <w:rPr>
          <w:rFonts w:ascii="Arial" w:hAnsi="Arial" w:cs="Arial"/>
          <w:sz w:val="22"/>
          <w:szCs w:val="22"/>
        </w:rPr>
        <w:t xml:space="preserve"> </w:t>
      </w:r>
      <w:r w:rsidRPr="00024677">
        <w:rPr>
          <w:rFonts w:ascii="Arial" w:hAnsi="Arial" w:cs="Arial"/>
          <w:sz w:val="22"/>
          <w:szCs w:val="22"/>
        </w:rPr>
        <w:t xml:space="preserve">k dispozici od renomovaných </w:t>
      </w:r>
      <w:r w:rsidR="003130EC">
        <w:rPr>
          <w:rFonts w:ascii="Arial" w:hAnsi="Arial" w:cs="Arial"/>
          <w:sz w:val="22"/>
          <w:szCs w:val="22"/>
        </w:rPr>
        <w:t xml:space="preserve">zahraničních </w:t>
      </w:r>
      <w:r w:rsidRPr="00024677">
        <w:rPr>
          <w:rFonts w:ascii="Arial" w:hAnsi="Arial" w:cs="Arial"/>
          <w:sz w:val="22"/>
          <w:szCs w:val="22"/>
        </w:rPr>
        <w:t>společností zabývající</w:t>
      </w:r>
      <w:r w:rsidR="00393E48">
        <w:rPr>
          <w:rFonts w:ascii="Arial" w:hAnsi="Arial" w:cs="Arial"/>
          <w:sz w:val="22"/>
          <w:szCs w:val="22"/>
        </w:rPr>
        <w:t>ch</w:t>
      </w:r>
      <w:r w:rsidRPr="00024677">
        <w:rPr>
          <w:rFonts w:ascii="Arial" w:hAnsi="Arial" w:cs="Arial"/>
          <w:sz w:val="22"/>
          <w:szCs w:val="22"/>
        </w:rPr>
        <w:t xml:space="preserve"> se evropskými telekomunikační trh</w:t>
      </w:r>
      <w:r w:rsidR="00393E48">
        <w:rPr>
          <w:rFonts w:ascii="Arial" w:hAnsi="Arial" w:cs="Arial"/>
          <w:sz w:val="22"/>
          <w:szCs w:val="22"/>
        </w:rPr>
        <w:t>y</w:t>
      </w:r>
      <w:r w:rsidRPr="00024677">
        <w:rPr>
          <w:rFonts w:ascii="Arial" w:hAnsi="Arial" w:cs="Arial"/>
          <w:sz w:val="22"/>
          <w:szCs w:val="22"/>
        </w:rPr>
        <w:t xml:space="preserve">. Naopak data v grafu č. 33, který má představovat data </w:t>
      </w:r>
      <w:r w:rsidRPr="00024677">
        <w:rPr>
          <w:rFonts w:ascii="Arial" w:hAnsi="Arial" w:cs="Arial"/>
          <w:sz w:val="22"/>
          <w:szCs w:val="22"/>
        </w:rPr>
        <w:lastRenderedPageBreak/>
        <w:t xml:space="preserve">za </w:t>
      </w:r>
      <w:r w:rsidR="00600766">
        <w:rPr>
          <w:rFonts w:ascii="Arial" w:hAnsi="Arial" w:cs="Arial"/>
          <w:sz w:val="22"/>
          <w:szCs w:val="22"/>
        </w:rPr>
        <w:t>první tři čtvrtletí roku</w:t>
      </w:r>
      <w:r w:rsidRPr="00024677">
        <w:rPr>
          <w:rFonts w:ascii="Arial" w:hAnsi="Arial" w:cs="Arial"/>
          <w:sz w:val="22"/>
          <w:szCs w:val="22"/>
        </w:rPr>
        <w:t xml:space="preserve"> 2016</w:t>
      </w:r>
      <w:r w:rsidR="00F97071" w:rsidRPr="00024677">
        <w:rPr>
          <w:rFonts w:ascii="Arial" w:hAnsi="Arial" w:cs="Arial"/>
          <w:sz w:val="22"/>
          <w:szCs w:val="22"/>
        </w:rPr>
        <w:t>,</w:t>
      </w:r>
      <w:r w:rsidR="003130EC">
        <w:rPr>
          <w:rFonts w:ascii="Arial" w:hAnsi="Arial" w:cs="Arial"/>
          <w:sz w:val="22"/>
          <w:szCs w:val="22"/>
        </w:rPr>
        <w:t xml:space="preserve"> nedávají</w:t>
      </w:r>
      <w:r w:rsidRPr="00024677">
        <w:rPr>
          <w:rFonts w:ascii="Arial" w:hAnsi="Arial" w:cs="Arial"/>
          <w:sz w:val="22"/>
          <w:szCs w:val="22"/>
        </w:rPr>
        <w:t xml:space="preserve"> již na první pohled smysl. </w:t>
      </w:r>
      <w:r w:rsidR="00F97071" w:rsidRPr="00024677">
        <w:rPr>
          <w:rFonts w:ascii="Arial" w:hAnsi="Arial" w:cs="Arial"/>
          <w:sz w:val="22"/>
          <w:szCs w:val="22"/>
        </w:rPr>
        <w:t>Podle těchto grafů kleslo ARPU</w:t>
      </w:r>
      <w:r w:rsidR="0006718D">
        <w:rPr>
          <w:rFonts w:ascii="Arial" w:hAnsi="Arial" w:cs="Arial"/>
          <w:sz w:val="22"/>
          <w:szCs w:val="22"/>
        </w:rPr>
        <w:t xml:space="preserve"> (tj. průměrný výnos na zákazníka)</w:t>
      </w:r>
      <w:r w:rsidR="00F97071" w:rsidRPr="00024677">
        <w:rPr>
          <w:rFonts w:ascii="Arial" w:hAnsi="Arial" w:cs="Arial"/>
          <w:sz w:val="22"/>
          <w:szCs w:val="22"/>
        </w:rPr>
        <w:t xml:space="preserve"> v zemích EHP za 9 měsíců o 54 %. Dále pokud budeme na základě umístění České republiky </w:t>
      </w:r>
      <w:r w:rsidR="003130EC">
        <w:rPr>
          <w:rFonts w:ascii="Arial" w:hAnsi="Arial" w:cs="Arial"/>
          <w:sz w:val="22"/>
          <w:szCs w:val="22"/>
        </w:rPr>
        <w:t xml:space="preserve">v grafu </w:t>
      </w:r>
      <w:r w:rsidR="00F97071" w:rsidRPr="00024677">
        <w:rPr>
          <w:rFonts w:ascii="Arial" w:hAnsi="Arial" w:cs="Arial"/>
          <w:sz w:val="22"/>
          <w:szCs w:val="22"/>
        </w:rPr>
        <w:t xml:space="preserve">předpokládat, že </w:t>
      </w:r>
      <w:r w:rsidR="003130EC">
        <w:rPr>
          <w:rFonts w:ascii="Arial" w:hAnsi="Arial" w:cs="Arial"/>
          <w:sz w:val="22"/>
          <w:szCs w:val="22"/>
        </w:rPr>
        <w:t xml:space="preserve">členské </w:t>
      </w:r>
      <w:r w:rsidR="00F97071" w:rsidRPr="00024677">
        <w:rPr>
          <w:rFonts w:ascii="Arial" w:hAnsi="Arial" w:cs="Arial"/>
          <w:sz w:val="22"/>
          <w:szCs w:val="22"/>
        </w:rPr>
        <w:t xml:space="preserve">země EHP jsou v grafu seřazeny abecedně, znamenalo by to například v případě Německa pokles ARPU </w:t>
      </w:r>
      <w:r w:rsidR="00600766">
        <w:rPr>
          <w:rFonts w:ascii="Arial" w:hAnsi="Arial" w:cs="Arial"/>
          <w:sz w:val="22"/>
          <w:szCs w:val="22"/>
        </w:rPr>
        <w:t xml:space="preserve">za výše uvedené období </w:t>
      </w:r>
      <w:r w:rsidR="00F97071" w:rsidRPr="00024677">
        <w:rPr>
          <w:rFonts w:ascii="Arial" w:hAnsi="Arial" w:cs="Arial"/>
          <w:sz w:val="22"/>
          <w:szCs w:val="22"/>
        </w:rPr>
        <w:t>o 92 %. Z těchto údajů vyplývá, že data prezentovaná v uvedeném grafu jsou buď neúplná</w:t>
      </w:r>
      <w:r w:rsidR="00600766">
        <w:rPr>
          <w:rFonts w:ascii="Arial" w:hAnsi="Arial" w:cs="Arial"/>
          <w:sz w:val="22"/>
          <w:szCs w:val="22"/>
        </w:rPr>
        <w:t>,</w:t>
      </w:r>
      <w:r w:rsidR="00F97071" w:rsidRPr="00024677">
        <w:rPr>
          <w:rFonts w:ascii="Arial" w:hAnsi="Arial" w:cs="Arial"/>
          <w:sz w:val="22"/>
          <w:szCs w:val="22"/>
        </w:rPr>
        <w:t xml:space="preserve"> </w:t>
      </w:r>
      <w:r w:rsidR="00393E48">
        <w:rPr>
          <w:rFonts w:ascii="Arial" w:hAnsi="Arial" w:cs="Arial"/>
          <w:sz w:val="22"/>
          <w:szCs w:val="22"/>
        </w:rPr>
        <w:t xml:space="preserve">ČTÚ </w:t>
      </w:r>
      <w:r w:rsidR="00F97071" w:rsidRPr="00024677">
        <w:rPr>
          <w:rFonts w:ascii="Arial" w:hAnsi="Arial" w:cs="Arial"/>
          <w:sz w:val="22"/>
          <w:szCs w:val="22"/>
        </w:rPr>
        <w:t xml:space="preserve">špatně interpretovaná </w:t>
      </w:r>
      <w:r w:rsidR="00600766">
        <w:rPr>
          <w:rFonts w:ascii="Arial" w:hAnsi="Arial" w:cs="Arial"/>
          <w:sz w:val="22"/>
          <w:szCs w:val="22"/>
        </w:rPr>
        <w:t>a</w:t>
      </w:r>
      <w:r w:rsidR="00F97071" w:rsidRPr="00024677">
        <w:rPr>
          <w:rFonts w:ascii="Arial" w:hAnsi="Arial" w:cs="Arial"/>
          <w:sz w:val="22"/>
          <w:szCs w:val="22"/>
        </w:rPr>
        <w:t xml:space="preserve">nebo chybná. </w:t>
      </w:r>
    </w:p>
    <w:p w14:paraId="07DA098E" w14:textId="77777777" w:rsidR="00DD05BD" w:rsidRDefault="00DD05BD" w:rsidP="0002467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3BA47E0" w14:textId="5F6FDCE1" w:rsidR="00F403AD" w:rsidRDefault="00F97071" w:rsidP="00024677">
      <w:pPr>
        <w:ind w:left="360"/>
        <w:jc w:val="both"/>
        <w:rPr>
          <w:rFonts w:ascii="Arial" w:hAnsi="Arial" w:cs="Arial"/>
          <w:sz w:val="22"/>
          <w:szCs w:val="22"/>
        </w:rPr>
      </w:pPr>
      <w:r w:rsidRPr="00482794">
        <w:rPr>
          <w:rFonts w:ascii="Arial" w:hAnsi="Arial" w:cs="Arial"/>
          <w:b/>
          <w:sz w:val="22"/>
          <w:szCs w:val="22"/>
          <w:u w:val="single"/>
        </w:rPr>
        <w:t xml:space="preserve">Dle dat dostupných společnosti O2 </w:t>
      </w:r>
      <w:r w:rsidR="00D063BB" w:rsidRPr="00482794">
        <w:rPr>
          <w:rFonts w:ascii="Arial" w:hAnsi="Arial" w:cs="Arial"/>
          <w:b/>
          <w:sz w:val="22"/>
          <w:szCs w:val="22"/>
          <w:u w:val="single"/>
        </w:rPr>
        <w:t>je průměrné ARPU v České republice i nadále výrazně pod průměrem Evropské unie potažmo EHP.</w:t>
      </w:r>
      <w:r w:rsidR="00D063BB" w:rsidRPr="00024677">
        <w:rPr>
          <w:rFonts w:ascii="Arial" w:hAnsi="Arial" w:cs="Arial"/>
          <w:sz w:val="22"/>
          <w:szCs w:val="22"/>
        </w:rPr>
        <w:t xml:space="preserve"> Ani v tomto bodě výsledky nenaznačují, že by na relevantním trhu byl</w:t>
      </w:r>
      <w:r w:rsidR="00393E48">
        <w:rPr>
          <w:rFonts w:ascii="Arial" w:hAnsi="Arial" w:cs="Arial"/>
          <w:sz w:val="22"/>
          <w:szCs w:val="22"/>
        </w:rPr>
        <w:t>o</w:t>
      </w:r>
      <w:r w:rsidR="00D063BB" w:rsidRPr="00024677">
        <w:rPr>
          <w:rFonts w:ascii="Arial" w:hAnsi="Arial" w:cs="Arial"/>
          <w:sz w:val="22"/>
          <w:szCs w:val="22"/>
        </w:rPr>
        <w:t xml:space="preserve"> vhodn</w:t>
      </w:r>
      <w:r w:rsidR="00393E48">
        <w:rPr>
          <w:rFonts w:ascii="Arial" w:hAnsi="Arial" w:cs="Arial"/>
          <w:sz w:val="22"/>
          <w:szCs w:val="22"/>
        </w:rPr>
        <w:t>é zavést</w:t>
      </w:r>
      <w:r w:rsidR="00D063BB" w:rsidRPr="00024677">
        <w:rPr>
          <w:rFonts w:ascii="Arial" w:hAnsi="Arial" w:cs="Arial"/>
          <w:sz w:val="22"/>
          <w:szCs w:val="22"/>
        </w:rPr>
        <w:t xml:space="preserve"> ex ante regulac</w:t>
      </w:r>
      <w:r w:rsidR="00393E48">
        <w:rPr>
          <w:rFonts w:ascii="Arial" w:hAnsi="Arial" w:cs="Arial"/>
          <w:sz w:val="22"/>
          <w:szCs w:val="22"/>
        </w:rPr>
        <w:t>i</w:t>
      </w:r>
      <w:r w:rsidR="00D063BB" w:rsidRPr="00024677">
        <w:rPr>
          <w:rFonts w:ascii="Arial" w:hAnsi="Arial" w:cs="Arial"/>
          <w:sz w:val="22"/>
          <w:szCs w:val="22"/>
        </w:rPr>
        <w:t>.</w:t>
      </w:r>
      <w:r w:rsidR="0068548A" w:rsidRPr="00024677">
        <w:rPr>
          <w:rFonts w:ascii="Arial" w:hAnsi="Arial" w:cs="Arial"/>
          <w:sz w:val="22"/>
          <w:szCs w:val="22"/>
        </w:rPr>
        <w:t xml:space="preserve"> V případě této připomínky se ještě dále posiluje závěr</w:t>
      </w:r>
      <w:r w:rsidR="00393E48">
        <w:rPr>
          <w:rFonts w:ascii="Arial" w:hAnsi="Arial" w:cs="Arial"/>
          <w:sz w:val="22"/>
          <w:szCs w:val="22"/>
        </w:rPr>
        <w:t xml:space="preserve"> ČTÚ</w:t>
      </w:r>
      <w:r w:rsidR="0068548A" w:rsidRPr="00024677">
        <w:rPr>
          <w:rFonts w:ascii="Arial" w:hAnsi="Arial" w:cs="Arial"/>
          <w:sz w:val="22"/>
          <w:szCs w:val="22"/>
        </w:rPr>
        <w:t xml:space="preserve">, že </w:t>
      </w:r>
      <w:r w:rsidR="0068548A" w:rsidRPr="008D48CD">
        <w:rPr>
          <w:rFonts w:ascii="Arial" w:hAnsi="Arial" w:cs="Arial"/>
          <w:i/>
          <w:sz w:val="22"/>
          <w:szCs w:val="22"/>
        </w:rPr>
        <w:t>„v ČR nejsou nabízeny mobilní služby na maloobchodním trhu za výrazně odlišných podmínek“</w:t>
      </w:r>
      <w:r w:rsidR="0068548A" w:rsidRPr="00024677">
        <w:rPr>
          <w:rFonts w:ascii="Arial" w:hAnsi="Arial" w:cs="Arial"/>
          <w:sz w:val="22"/>
          <w:szCs w:val="22"/>
        </w:rPr>
        <w:t xml:space="preserve"> respektive jsou z pohledu ARPU dokonce nabízeny </w:t>
      </w:r>
      <w:r w:rsidR="008D48CD">
        <w:rPr>
          <w:rFonts w:ascii="Arial" w:hAnsi="Arial" w:cs="Arial"/>
          <w:sz w:val="22"/>
          <w:szCs w:val="22"/>
        </w:rPr>
        <w:t xml:space="preserve">výrazně </w:t>
      </w:r>
      <w:r w:rsidR="0068548A" w:rsidRPr="00024677">
        <w:rPr>
          <w:rFonts w:ascii="Arial" w:hAnsi="Arial" w:cs="Arial"/>
          <w:sz w:val="22"/>
          <w:szCs w:val="22"/>
        </w:rPr>
        <w:t>levněji.</w:t>
      </w:r>
      <w:r w:rsidR="003F213C">
        <w:rPr>
          <w:rFonts w:ascii="Arial" w:hAnsi="Arial" w:cs="Arial"/>
          <w:sz w:val="22"/>
          <w:szCs w:val="22"/>
        </w:rPr>
        <w:t xml:space="preserve"> </w:t>
      </w:r>
    </w:p>
    <w:p w14:paraId="1F7A3FE0" w14:textId="77777777" w:rsidR="00F403AD" w:rsidRDefault="00F403AD" w:rsidP="0002467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04D46A3" w14:textId="6479741B" w:rsidR="00B12A90" w:rsidRDefault="003F213C">
      <w:pPr>
        <w:ind w:left="360"/>
        <w:jc w:val="both"/>
        <w:rPr>
          <w:rFonts w:ascii="Arial" w:hAnsi="Arial" w:cs="Arial"/>
          <w:sz w:val="22"/>
          <w:szCs w:val="22"/>
        </w:rPr>
      </w:pPr>
      <w:r w:rsidRPr="00AC6D67">
        <w:rPr>
          <w:rFonts w:ascii="Arial" w:hAnsi="Arial" w:cs="Arial"/>
          <w:b/>
          <w:sz w:val="22"/>
          <w:szCs w:val="22"/>
        </w:rPr>
        <w:t xml:space="preserve">Srovnávání mezi </w:t>
      </w:r>
      <w:r w:rsidR="00F403AD" w:rsidRPr="00AC6D67">
        <w:rPr>
          <w:rFonts w:ascii="Arial" w:hAnsi="Arial" w:cs="Arial"/>
          <w:b/>
          <w:sz w:val="22"/>
          <w:szCs w:val="22"/>
        </w:rPr>
        <w:t xml:space="preserve">jednotlivými </w:t>
      </w:r>
      <w:r w:rsidRPr="00AC6D67">
        <w:rPr>
          <w:rFonts w:ascii="Arial" w:hAnsi="Arial" w:cs="Arial"/>
          <w:b/>
          <w:sz w:val="22"/>
          <w:szCs w:val="22"/>
        </w:rPr>
        <w:t>zeměmi prostřednictvím ARPU je přitom mnohem více vypovídající než srovnávání prostřed</w:t>
      </w:r>
      <w:r w:rsidR="00482794" w:rsidRPr="00AC6D67">
        <w:rPr>
          <w:rFonts w:ascii="Arial" w:hAnsi="Arial" w:cs="Arial"/>
          <w:b/>
          <w:sz w:val="22"/>
          <w:szCs w:val="22"/>
        </w:rPr>
        <w:t>nictvím ceníkových cen</w:t>
      </w:r>
      <w:r w:rsidR="00482794">
        <w:rPr>
          <w:rFonts w:ascii="Arial" w:hAnsi="Arial" w:cs="Arial"/>
          <w:sz w:val="22"/>
          <w:szCs w:val="22"/>
        </w:rPr>
        <w:t>, které jsou</w:t>
      </w:r>
      <w:r>
        <w:rPr>
          <w:rFonts w:ascii="Arial" w:hAnsi="Arial" w:cs="Arial"/>
          <w:sz w:val="22"/>
          <w:szCs w:val="22"/>
        </w:rPr>
        <w:t xml:space="preserve"> zkreslené odlišností nabízených tarifů a jejich specif</w:t>
      </w:r>
      <w:r w:rsidR="00393E48">
        <w:rPr>
          <w:rFonts w:ascii="Arial" w:hAnsi="Arial" w:cs="Arial"/>
          <w:sz w:val="22"/>
          <w:szCs w:val="22"/>
        </w:rPr>
        <w:t>ických podmínek nebo doplňkových služeb</w:t>
      </w:r>
      <w:r>
        <w:rPr>
          <w:rFonts w:ascii="Arial" w:hAnsi="Arial" w:cs="Arial"/>
          <w:sz w:val="22"/>
          <w:szCs w:val="22"/>
        </w:rPr>
        <w:t xml:space="preserve"> a dále </w:t>
      </w:r>
      <w:r w:rsidR="00DD05BD">
        <w:rPr>
          <w:rFonts w:ascii="Arial" w:hAnsi="Arial" w:cs="Arial"/>
          <w:sz w:val="22"/>
          <w:szCs w:val="22"/>
        </w:rPr>
        <w:t xml:space="preserve">hojně rozšířenými </w:t>
      </w:r>
      <w:r>
        <w:rPr>
          <w:rFonts w:ascii="Arial" w:hAnsi="Arial" w:cs="Arial"/>
          <w:sz w:val="22"/>
          <w:szCs w:val="22"/>
        </w:rPr>
        <w:t xml:space="preserve">retenčními (podpultovými) nabídkami, které se od ceníkových cen </w:t>
      </w:r>
      <w:r w:rsidR="00DD05BD">
        <w:rPr>
          <w:rFonts w:ascii="Arial" w:hAnsi="Arial" w:cs="Arial"/>
          <w:sz w:val="22"/>
          <w:szCs w:val="22"/>
        </w:rPr>
        <w:t xml:space="preserve">značně </w:t>
      </w:r>
      <w:r>
        <w:rPr>
          <w:rFonts w:ascii="Arial" w:hAnsi="Arial" w:cs="Arial"/>
          <w:sz w:val="22"/>
          <w:szCs w:val="22"/>
        </w:rPr>
        <w:t xml:space="preserve">odlišují. V případě </w:t>
      </w:r>
      <w:r w:rsidR="00E07791">
        <w:rPr>
          <w:rFonts w:ascii="Arial" w:hAnsi="Arial" w:cs="Arial"/>
          <w:sz w:val="22"/>
          <w:szCs w:val="22"/>
        </w:rPr>
        <w:t>České republiky</w:t>
      </w:r>
      <w:r>
        <w:rPr>
          <w:rFonts w:ascii="Arial" w:hAnsi="Arial" w:cs="Arial"/>
          <w:sz w:val="22"/>
          <w:szCs w:val="22"/>
        </w:rPr>
        <w:t xml:space="preserve"> je </w:t>
      </w:r>
      <w:r w:rsidR="00F403AD">
        <w:rPr>
          <w:rFonts w:ascii="Arial" w:hAnsi="Arial" w:cs="Arial"/>
          <w:sz w:val="22"/>
          <w:szCs w:val="22"/>
        </w:rPr>
        <w:t xml:space="preserve">toto </w:t>
      </w:r>
      <w:r>
        <w:rPr>
          <w:rFonts w:ascii="Arial" w:hAnsi="Arial" w:cs="Arial"/>
          <w:sz w:val="22"/>
          <w:szCs w:val="22"/>
        </w:rPr>
        <w:t xml:space="preserve">zkreslení srovnání ceníkových cen pro dané segmenty trhu ještě </w:t>
      </w:r>
      <w:r w:rsidR="00F403AD">
        <w:rPr>
          <w:rFonts w:ascii="Arial" w:hAnsi="Arial" w:cs="Arial"/>
          <w:sz w:val="22"/>
          <w:szCs w:val="22"/>
        </w:rPr>
        <w:t xml:space="preserve">navíc umocněno </w:t>
      </w:r>
      <w:r>
        <w:rPr>
          <w:rFonts w:ascii="Arial" w:hAnsi="Arial" w:cs="Arial"/>
          <w:sz w:val="22"/>
          <w:szCs w:val="22"/>
        </w:rPr>
        <w:t xml:space="preserve">tím, že značná část z celého trhu funguje </w:t>
      </w:r>
      <w:r w:rsidR="00393E48">
        <w:rPr>
          <w:rFonts w:ascii="Arial" w:hAnsi="Arial" w:cs="Arial"/>
          <w:sz w:val="22"/>
          <w:szCs w:val="22"/>
        </w:rPr>
        <w:t xml:space="preserve">právě </w:t>
      </w:r>
      <w:r>
        <w:rPr>
          <w:rFonts w:ascii="Arial" w:hAnsi="Arial" w:cs="Arial"/>
          <w:sz w:val="22"/>
          <w:szCs w:val="22"/>
        </w:rPr>
        <w:t xml:space="preserve">na nelegální bázi v podobě poskytování služeb ze strany </w:t>
      </w:r>
      <w:r w:rsidR="00393E48">
        <w:rPr>
          <w:rFonts w:ascii="Arial" w:hAnsi="Arial" w:cs="Arial"/>
          <w:sz w:val="22"/>
          <w:szCs w:val="22"/>
        </w:rPr>
        <w:t xml:space="preserve">nelegálních </w:t>
      </w:r>
      <w:r>
        <w:rPr>
          <w:rFonts w:ascii="Arial" w:hAnsi="Arial" w:cs="Arial"/>
          <w:sz w:val="22"/>
          <w:szCs w:val="22"/>
        </w:rPr>
        <w:t>šedých operátorů</w:t>
      </w:r>
      <w:r w:rsidR="001D406F">
        <w:rPr>
          <w:rFonts w:ascii="Arial" w:hAnsi="Arial" w:cs="Arial"/>
          <w:sz w:val="22"/>
          <w:szCs w:val="22"/>
        </w:rPr>
        <w:t>, zaměstnaneckých programů</w:t>
      </w:r>
      <w:r>
        <w:rPr>
          <w:rFonts w:ascii="Arial" w:hAnsi="Arial" w:cs="Arial"/>
          <w:sz w:val="22"/>
          <w:szCs w:val="22"/>
        </w:rPr>
        <w:t xml:space="preserve"> a </w:t>
      </w:r>
      <w:r w:rsidR="00801004">
        <w:rPr>
          <w:rFonts w:ascii="Arial" w:hAnsi="Arial" w:cs="Arial"/>
          <w:sz w:val="22"/>
          <w:szCs w:val="22"/>
        </w:rPr>
        <w:t xml:space="preserve">rovněž některých </w:t>
      </w:r>
      <w:r>
        <w:rPr>
          <w:rFonts w:ascii="Arial" w:hAnsi="Arial" w:cs="Arial"/>
          <w:sz w:val="22"/>
          <w:szCs w:val="22"/>
        </w:rPr>
        <w:t>spolků</w:t>
      </w:r>
      <w:r w:rsidR="00DD05B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393E48">
        <w:rPr>
          <w:rFonts w:ascii="Arial" w:hAnsi="Arial" w:cs="Arial"/>
          <w:sz w:val="22"/>
          <w:szCs w:val="22"/>
        </w:rPr>
        <w:t>.</w:t>
      </w:r>
      <w:r w:rsidR="00F403AD">
        <w:rPr>
          <w:rFonts w:ascii="Arial" w:hAnsi="Arial" w:cs="Arial"/>
          <w:sz w:val="22"/>
          <w:szCs w:val="22"/>
        </w:rPr>
        <w:t xml:space="preserve"> </w:t>
      </w:r>
      <w:r w:rsidR="00393E48">
        <w:rPr>
          <w:rFonts w:ascii="Arial" w:hAnsi="Arial" w:cs="Arial"/>
          <w:sz w:val="22"/>
          <w:szCs w:val="22"/>
        </w:rPr>
        <w:t>V</w:t>
      </w:r>
      <w:r w:rsidR="00A04B32">
        <w:rPr>
          <w:rFonts w:ascii="Arial" w:hAnsi="Arial" w:cs="Arial"/>
          <w:sz w:val="22"/>
          <w:szCs w:val="22"/>
        </w:rPr>
        <w:t xml:space="preserve"> současné realitě trhu elektronických komunikací v ČR </w:t>
      </w:r>
      <w:r w:rsidR="00CE3BDF">
        <w:rPr>
          <w:rFonts w:ascii="Arial" w:hAnsi="Arial" w:cs="Arial"/>
          <w:sz w:val="22"/>
          <w:szCs w:val="22"/>
        </w:rPr>
        <w:t xml:space="preserve">se </w:t>
      </w:r>
      <w:r w:rsidR="00393E48">
        <w:rPr>
          <w:rFonts w:ascii="Arial" w:hAnsi="Arial" w:cs="Arial"/>
          <w:sz w:val="22"/>
          <w:szCs w:val="22"/>
        </w:rPr>
        <w:t>šedí operátoři</w:t>
      </w:r>
      <w:r w:rsidR="001D406F">
        <w:rPr>
          <w:rFonts w:ascii="Arial" w:hAnsi="Arial" w:cs="Arial"/>
          <w:sz w:val="22"/>
          <w:szCs w:val="22"/>
        </w:rPr>
        <w:t>, zaměstnanecké programy</w:t>
      </w:r>
      <w:r w:rsidR="00393E48">
        <w:rPr>
          <w:rFonts w:ascii="Arial" w:hAnsi="Arial" w:cs="Arial"/>
          <w:sz w:val="22"/>
          <w:szCs w:val="22"/>
        </w:rPr>
        <w:t xml:space="preserve"> a spolky </w:t>
      </w:r>
      <w:r w:rsidR="00CE3BDF">
        <w:rPr>
          <w:rFonts w:ascii="Arial" w:hAnsi="Arial" w:cs="Arial"/>
          <w:sz w:val="22"/>
          <w:szCs w:val="22"/>
        </w:rPr>
        <w:t xml:space="preserve">vyhýbají </w:t>
      </w:r>
      <w:r w:rsidR="00393E48">
        <w:rPr>
          <w:rFonts w:ascii="Arial" w:hAnsi="Arial" w:cs="Arial"/>
          <w:sz w:val="22"/>
          <w:szCs w:val="22"/>
        </w:rPr>
        <w:t xml:space="preserve">nejenom režimu daného </w:t>
      </w:r>
      <w:r w:rsidR="002C003B" w:rsidRPr="0083047F">
        <w:rPr>
          <w:rFonts w:ascii="Arial" w:hAnsi="Arial" w:cs="Arial"/>
          <w:sz w:val="22"/>
          <w:szCs w:val="22"/>
        </w:rPr>
        <w:t>zákonem č. 127/2005 Sb., o elektronických komunikacích a o změně některých souvisejících zákonů (zákon o elektronických komunikacích), ve znění pozdějších předpisů</w:t>
      </w:r>
      <w:r w:rsidR="002C003B" w:rsidRPr="002C003B">
        <w:rPr>
          <w:rFonts w:ascii="Arial" w:hAnsi="Arial" w:cs="Arial"/>
          <w:sz w:val="22"/>
          <w:szCs w:val="22"/>
        </w:rPr>
        <w:t xml:space="preserve"> </w:t>
      </w:r>
      <w:r w:rsidR="002C003B">
        <w:rPr>
          <w:rFonts w:ascii="Arial" w:hAnsi="Arial" w:cs="Arial"/>
          <w:sz w:val="22"/>
          <w:szCs w:val="22"/>
        </w:rPr>
        <w:t>(dále jen „zákon o elektronických komunikacích“)</w:t>
      </w:r>
      <w:r w:rsidR="00393E48">
        <w:rPr>
          <w:rFonts w:ascii="Arial" w:hAnsi="Arial" w:cs="Arial"/>
          <w:sz w:val="22"/>
          <w:szCs w:val="22"/>
        </w:rPr>
        <w:t xml:space="preserve">, ale </w:t>
      </w:r>
      <w:r w:rsidR="00F403AD">
        <w:rPr>
          <w:rFonts w:ascii="Arial" w:hAnsi="Arial" w:cs="Arial"/>
          <w:sz w:val="22"/>
          <w:szCs w:val="22"/>
        </w:rPr>
        <w:t xml:space="preserve">mnoha </w:t>
      </w:r>
      <w:r w:rsidR="00393E48">
        <w:rPr>
          <w:rFonts w:ascii="Arial" w:hAnsi="Arial" w:cs="Arial"/>
          <w:sz w:val="22"/>
          <w:szCs w:val="22"/>
        </w:rPr>
        <w:t>další</w:t>
      </w:r>
      <w:r w:rsidR="00CE3BDF">
        <w:rPr>
          <w:rFonts w:ascii="Arial" w:hAnsi="Arial" w:cs="Arial"/>
          <w:sz w:val="22"/>
          <w:szCs w:val="22"/>
        </w:rPr>
        <w:t>m</w:t>
      </w:r>
      <w:r w:rsidR="00393E48">
        <w:rPr>
          <w:rFonts w:ascii="Arial" w:hAnsi="Arial" w:cs="Arial"/>
          <w:sz w:val="22"/>
          <w:szCs w:val="22"/>
        </w:rPr>
        <w:t xml:space="preserve"> </w:t>
      </w:r>
      <w:r w:rsidR="00F403AD">
        <w:rPr>
          <w:rFonts w:ascii="Arial" w:hAnsi="Arial" w:cs="Arial"/>
          <w:sz w:val="22"/>
          <w:szCs w:val="22"/>
        </w:rPr>
        <w:t>právní</w:t>
      </w:r>
      <w:r w:rsidR="00CE3BDF">
        <w:rPr>
          <w:rFonts w:ascii="Arial" w:hAnsi="Arial" w:cs="Arial"/>
          <w:sz w:val="22"/>
          <w:szCs w:val="22"/>
        </w:rPr>
        <w:t>m</w:t>
      </w:r>
      <w:r w:rsidR="00F403AD">
        <w:rPr>
          <w:rFonts w:ascii="Arial" w:hAnsi="Arial" w:cs="Arial"/>
          <w:sz w:val="22"/>
          <w:szCs w:val="22"/>
        </w:rPr>
        <w:t xml:space="preserve"> předpisů</w:t>
      </w:r>
      <w:r w:rsidR="00CE3BDF">
        <w:rPr>
          <w:rFonts w:ascii="Arial" w:hAnsi="Arial" w:cs="Arial"/>
          <w:sz w:val="22"/>
          <w:szCs w:val="22"/>
        </w:rPr>
        <w:t>m</w:t>
      </w:r>
      <w:r w:rsidR="00CE3BDF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93E48">
        <w:rPr>
          <w:rFonts w:ascii="Arial" w:hAnsi="Arial" w:cs="Arial"/>
          <w:sz w:val="22"/>
          <w:szCs w:val="22"/>
        </w:rPr>
        <w:t xml:space="preserve">. </w:t>
      </w:r>
      <w:r w:rsidR="00393E48" w:rsidRPr="00CE3BDF">
        <w:rPr>
          <w:rFonts w:ascii="Arial" w:hAnsi="Arial" w:cs="Arial"/>
          <w:sz w:val="22"/>
          <w:szCs w:val="22"/>
        </w:rPr>
        <w:t xml:space="preserve">V důsledku této skutečnosti chybí jakákoliv </w:t>
      </w:r>
      <w:r w:rsidR="00F403AD" w:rsidRPr="00CE3BDF">
        <w:rPr>
          <w:rFonts w:ascii="Arial" w:hAnsi="Arial" w:cs="Arial"/>
          <w:sz w:val="22"/>
          <w:szCs w:val="22"/>
        </w:rPr>
        <w:t>možnost jejich korektního a správného statistického sledování v</w:t>
      </w:r>
      <w:r w:rsidR="00D57295" w:rsidRPr="00CE3BDF">
        <w:rPr>
          <w:rFonts w:ascii="Arial" w:hAnsi="Arial" w:cs="Arial"/>
          <w:sz w:val="22"/>
          <w:szCs w:val="22"/>
        </w:rPr>
        <w:t xml:space="preserve"> rámci systému </w:t>
      </w:r>
      <w:r w:rsidR="00F403AD" w:rsidRPr="00CE3BDF">
        <w:rPr>
          <w:rFonts w:ascii="Arial" w:hAnsi="Arial" w:cs="Arial"/>
          <w:sz w:val="22"/>
          <w:szCs w:val="22"/>
        </w:rPr>
        <w:t>elektronické</w:t>
      </w:r>
      <w:r w:rsidR="00D57295" w:rsidRPr="00CE3BDF">
        <w:rPr>
          <w:rFonts w:ascii="Arial" w:hAnsi="Arial" w:cs="Arial"/>
          <w:sz w:val="22"/>
          <w:szCs w:val="22"/>
        </w:rPr>
        <w:t>ho</w:t>
      </w:r>
      <w:r w:rsidR="00F403AD" w:rsidRPr="00CE3BDF">
        <w:rPr>
          <w:rFonts w:ascii="Arial" w:hAnsi="Arial" w:cs="Arial"/>
          <w:sz w:val="22"/>
          <w:szCs w:val="22"/>
        </w:rPr>
        <w:t xml:space="preserve"> sběru dat </w:t>
      </w:r>
      <w:r w:rsidR="00D57295" w:rsidRPr="00CE3BDF">
        <w:rPr>
          <w:rFonts w:ascii="Arial" w:hAnsi="Arial" w:cs="Arial"/>
          <w:sz w:val="22"/>
          <w:szCs w:val="22"/>
        </w:rPr>
        <w:t xml:space="preserve">ČTÚ </w:t>
      </w:r>
      <w:r w:rsidR="00F403AD" w:rsidRPr="00CE3BDF">
        <w:rPr>
          <w:rFonts w:ascii="Arial" w:hAnsi="Arial" w:cs="Arial"/>
          <w:sz w:val="22"/>
          <w:szCs w:val="22"/>
        </w:rPr>
        <w:t xml:space="preserve">a z toho plynoucího </w:t>
      </w:r>
      <w:r w:rsidR="00393E48" w:rsidRPr="00CE3BDF">
        <w:rPr>
          <w:rFonts w:ascii="Arial" w:hAnsi="Arial" w:cs="Arial"/>
          <w:sz w:val="22"/>
          <w:szCs w:val="22"/>
        </w:rPr>
        <w:t xml:space="preserve">správného a nezkresleného </w:t>
      </w:r>
      <w:r w:rsidR="00F403AD" w:rsidRPr="00CE3BDF">
        <w:rPr>
          <w:rFonts w:ascii="Arial" w:hAnsi="Arial" w:cs="Arial"/>
          <w:sz w:val="22"/>
          <w:szCs w:val="22"/>
        </w:rPr>
        <w:t>provádění analýz relevantních trhů či mezinárodních srovnání</w:t>
      </w:r>
      <w:r w:rsidRPr="00CE3BDF">
        <w:rPr>
          <w:rFonts w:ascii="Arial" w:hAnsi="Arial" w:cs="Arial"/>
          <w:sz w:val="22"/>
          <w:szCs w:val="22"/>
        </w:rPr>
        <w:t>.</w:t>
      </w:r>
    </w:p>
    <w:p w14:paraId="35AFDDC5" w14:textId="77777777" w:rsidR="00D27890" w:rsidRDefault="00D2789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6DB8C4F" w14:textId="77777777" w:rsidR="00D27890" w:rsidRDefault="00D2789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E50507" w14:textId="6E801C96" w:rsidR="005C5801" w:rsidRDefault="004D6706" w:rsidP="005C5801">
      <w:pPr>
        <w:pStyle w:val="Nadpis2"/>
      </w:pPr>
      <w:r>
        <w:t xml:space="preserve">Zohlednění zkreslení dat </w:t>
      </w:r>
      <w:r w:rsidR="00DD2895">
        <w:t xml:space="preserve">ARPU dle jednotlivých segmentů z důvodu existence „šedých operátorů“ </w:t>
      </w:r>
      <w:r w:rsidR="008762E2">
        <w:t xml:space="preserve">- </w:t>
      </w:r>
      <w:r w:rsidR="00DD2895">
        <w:t>str. 57</w:t>
      </w:r>
    </w:p>
    <w:p w14:paraId="59A0B0D5" w14:textId="77777777" w:rsidR="00082320" w:rsidRDefault="00082320" w:rsidP="00DD2895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14:paraId="1DD60C51" w14:textId="77777777" w:rsidR="00DD2895" w:rsidRPr="00024677" w:rsidRDefault="00DD2895" w:rsidP="00DD2895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024677">
        <w:rPr>
          <w:rFonts w:ascii="Arial" w:hAnsi="Arial" w:cs="Arial"/>
          <w:i/>
          <w:sz w:val="22"/>
          <w:szCs w:val="22"/>
        </w:rPr>
        <w:t>Návrh na doplnění, změnu, zrušení nebo nahrazení textu ustanovení návrhu opatření:</w:t>
      </w:r>
    </w:p>
    <w:p w14:paraId="3C48D14E" w14:textId="0B409574" w:rsidR="00DD2895" w:rsidRDefault="00DD2895" w:rsidP="00DD2895"/>
    <w:p w14:paraId="7D025DF2" w14:textId="22682526" w:rsidR="00C01E11" w:rsidRPr="0083047F" w:rsidRDefault="003167BD" w:rsidP="00C01E1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ČTÚ si </w:t>
      </w:r>
      <w:r w:rsidR="00C01E11">
        <w:rPr>
          <w:rFonts w:ascii="Arial" w:hAnsi="Arial" w:cs="Arial"/>
          <w:b/>
          <w:sz w:val="22"/>
          <w:szCs w:val="22"/>
        </w:rPr>
        <w:t xml:space="preserve">v dokumentu </w:t>
      </w:r>
      <w:r w:rsidR="008762E2">
        <w:rPr>
          <w:rFonts w:ascii="Arial" w:hAnsi="Arial" w:cs="Arial"/>
          <w:b/>
          <w:sz w:val="22"/>
          <w:szCs w:val="22"/>
        </w:rPr>
        <w:t xml:space="preserve">vnitřně </w:t>
      </w:r>
      <w:r w:rsidR="00015FD4">
        <w:rPr>
          <w:rFonts w:ascii="Arial" w:hAnsi="Arial" w:cs="Arial"/>
          <w:b/>
          <w:sz w:val="22"/>
          <w:szCs w:val="22"/>
        </w:rPr>
        <w:t xml:space="preserve">silně </w:t>
      </w:r>
      <w:r>
        <w:rPr>
          <w:rFonts w:ascii="Arial" w:hAnsi="Arial" w:cs="Arial"/>
          <w:b/>
          <w:sz w:val="22"/>
          <w:szCs w:val="22"/>
        </w:rPr>
        <w:t xml:space="preserve">odporuje, když </w:t>
      </w:r>
      <w:r w:rsidR="00C01E11">
        <w:rPr>
          <w:rFonts w:ascii="Arial" w:hAnsi="Arial" w:cs="Arial"/>
          <w:b/>
          <w:sz w:val="22"/>
          <w:szCs w:val="22"/>
        </w:rPr>
        <w:t xml:space="preserve">na jednu stranu </w:t>
      </w:r>
      <w:r>
        <w:rPr>
          <w:rFonts w:ascii="Arial" w:hAnsi="Arial" w:cs="Arial"/>
          <w:b/>
          <w:sz w:val="22"/>
          <w:szCs w:val="22"/>
        </w:rPr>
        <w:t xml:space="preserve">potvrzuje fungující konkurenci na segmentu </w:t>
      </w:r>
      <w:r w:rsidR="00C01E11">
        <w:rPr>
          <w:rFonts w:ascii="Arial" w:hAnsi="Arial" w:cs="Arial"/>
          <w:b/>
          <w:sz w:val="22"/>
          <w:szCs w:val="22"/>
        </w:rPr>
        <w:t xml:space="preserve">domácností a na straně druhé svůj závěr o splnění kritéria testu staví zcela nepřípustně na </w:t>
      </w:r>
      <w:r w:rsidR="00C01E11" w:rsidRPr="00C01E11">
        <w:rPr>
          <w:rFonts w:ascii="Arial" w:hAnsi="Arial" w:cs="Arial"/>
          <w:b/>
          <w:sz w:val="22"/>
          <w:szCs w:val="22"/>
        </w:rPr>
        <w:t xml:space="preserve">skutečnosti, že </w:t>
      </w:r>
      <w:r w:rsidR="00C01E11" w:rsidRPr="0083047F">
        <w:rPr>
          <w:rFonts w:ascii="Arial" w:hAnsi="Arial" w:cs="Arial"/>
          <w:b/>
          <w:sz w:val="22"/>
          <w:szCs w:val="22"/>
        </w:rPr>
        <w:t xml:space="preserve">v případě rezidentního segmentu prostor pro regulační zásah spatřuje, protože podle něj rezidentní trh funguje </w:t>
      </w:r>
      <w:r w:rsidR="00C01E11" w:rsidRPr="0083047F">
        <w:rPr>
          <w:rFonts w:ascii="Arial" w:hAnsi="Arial" w:cs="Arial"/>
          <w:b/>
          <w:i/>
          <w:sz w:val="22"/>
          <w:szCs w:val="22"/>
          <w:u w:val="single"/>
        </w:rPr>
        <w:t>pouze</w:t>
      </w:r>
      <w:r w:rsidR="00C01E11" w:rsidRPr="0083047F">
        <w:rPr>
          <w:rFonts w:ascii="Arial" w:hAnsi="Arial" w:cs="Arial"/>
          <w:b/>
          <w:sz w:val="22"/>
          <w:szCs w:val="22"/>
        </w:rPr>
        <w:t xml:space="preserve"> velmi dobře a nikoliv perfektně jako segment firemních zákazníků. </w:t>
      </w:r>
    </w:p>
    <w:p w14:paraId="3148A7C4" w14:textId="77777777" w:rsidR="00C01E11" w:rsidRDefault="00C01E11" w:rsidP="00DD289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7B24BBF" w14:textId="741A3549" w:rsidR="00DD2895" w:rsidRPr="0070527F" w:rsidRDefault="00C01E11" w:rsidP="00DD289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70527F" w:rsidRPr="0070527F">
        <w:rPr>
          <w:rFonts w:ascii="Arial" w:hAnsi="Arial" w:cs="Arial"/>
          <w:b/>
          <w:sz w:val="22"/>
          <w:szCs w:val="22"/>
        </w:rPr>
        <w:t xml:space="preserve">ávěr </w:t>
      </w:r>
      <w:r w:rsidR="003167BD">
        <w:rPr>
          <w:rFonts w:ascii="Arial" w:hAnsi="Arial" w:cs="Arial"/>
          <w:b/>
          <w:sz w:val="22"/>
          <w:szCs w:val="22"/>
        </w:rPr>
        <w:t xml:space="preserve">ke zkoumání maloobchodního trhu </w:t>
      </w:r>
      <w:r w:rsidR="0070527F" w:rsidRPr="0070527F">
        <w:rPr>
          <w:rFonts w:ascii="Arial" w:hAnsi="Arial" w:cs="Arial"/>
          <w:b/>
          <w:sz w:val="22"/>
          <w:szCs w:val="22"/>
        </w:rPr>
        <w:t>na str. 5</w:t>
      </w:r>
      <w:r w:rsidR="001235D8">
        <w:rPr>
          <w:rFonts w:ascii="Arial" w:hAnsi="Arial" w:cs="Arial"/>
          <w:b/>
          <w:sz w:val="22"/>
          <w:szCs w:val="22"/>
        </w:rPr>
        <w:t>7</w:t>
      </w:r>
      <w:r w:rsidR="0070527F" w:rsidRPr="0070527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je nutné rovněž doplnit </w:t>
      </w:r>
      <w:r w:rsidR="0070527F" w:rsidRPr="0070527F">
        <w:rPr>
          <w:rFonts w:ascii="Arial" w:hAnsi="Arial" w:cs="Arial"/>
          <w:b/>
          <w:sz w:val="22"/>
          <w:szCs w:val="22"/>
        </w:rPr>
        <w:t xml:space="preserve">o </w:t>
      </w:r>
      <w:r w:rsidR="002C003B">
        <w:rPr>
          <w:rFonts w:ascii="Arial" w:hAnsi="Arial" w:cs="Arial"/>
          <w:b/>
          <w:sz w:val="22"/>
          <w:szCs w:val="22"/>
        </w:rPr>
        <w:t xml:space="preserve">informaci k relevanci </w:t>
      </w:r>
      <w:r w:rsidR="00CD71F0">
        <w:rPr>
          <w:rFonts w:ascii="Arial" w:hAnsi="Arial" w:cs="Arial"/>
          <w:b/>
          <w:sz w:val="22"/>
          <w:szCs w:val="22"/>
        </w:rPr>
        <w:t xml:space="preserve">použitých </w:t>
      </w:r>
      <w:r w:rsidR="0070527F" w:rsidRPr="0070527F">
        <w:rPr>
          <w:rFonts w:ascii="Arial" w:hAnsi="Arial" w:cs="Arial"/>
          <w:b/>
          <w:sz w:val="22"/>
          <w:szCs w:val="22"/>
        </w:rPr>
        <w:t>dat</w:t>
      </w:r>
      <w:r w:rsidR="00CD71F0">
        <w:rPr>
          <w:rFonts w:ascii="Arial" w:hAnsi="Arial" w:cs="Arial"/>
          <w:b/>
          <w:sz w:val="22"/>
          <w:szCs w:val="22"/>
        </w:rPr>
        <w:t xml:space="preserve"> (</w:t>
      </w:r>
      <w:r w:rsidR="0070527F" w:rsidRPr="0070527F">
        <w:rPr>
          <w:rFonts w:ascii="Arial" w:hAnsi="Arial" w:cs="Arial"/>
          <w:b/>
          <w:sz w:val="22"/>
          <w:szCs w:val="22"/>
        </w:rPr>
        <w:t xml:space="preserve">ze kterých </w:t>
      </w:r>
      <w:r w:rsidR="001235D8">
        <w:rPr>
          <w:rFonts w:ascii="Arial" w:hAnsi="Arial" w:cs="Arial"/>
          <w:b/>
          <w:sz w:val="22"/>
          <w:szCs w:val="22"/>
        </w:rPr>
        <w:t xml:space="preserve">ČTÚ </w:t>
      </w:r>
      <w:r w:rsidR="00CD71F0">
        <w:rPr>
          <w:rFonts w:ascii="Arial" w:hAnsi="Arial" w:cs="Arial"/>
          <w:b/>
          <w:sz w:val="22"/>
          <w:szCs w:val="22"/>
        </w:rPr>
        <w:t xml:space="preserve">nakonec </w:t>
      </w:r>
      <w:r w:rsidR="0070527F" w:rsidRPr="0070527F">
        <w:rPr>
          <w:rFonts w:ascii="Arial" w:hAnsi="Arial" w:cs="Arial"/>
          <w:b/>
          <w:sz w:val="22"/>
          <w:szCs w:val="22"/>
        </w:rPr>
        <w:t>dochází k</w:t>
      </w:r>
      <w:r w:rsidR="001235D8">
        <w:rPr>
          <w:rFonts w:ascii="Arial" w:hAnsi="Arial" w:cs="Arial"/>
          <w:b/>
          <w:sz w:val="22"/>
          <w:szCs w:val="22"/>
        </w:rPr>
        <w:t xml:space="preserve"> mylnému </w:t>
      </w:r>
      <w:r w:rsidR="0070527F">
        <w:rPr>
          <w:rFonts w:ascii="Arial" w:hAnsi="Arial" w:cs="Arial"/>
          <w:b/>
          <w:sz w:val="22"/>
          <w:szCs w:val="22"/>
        </w:rPr>
        <w:t>závěru</w:t>
      </w:r>
      <w:r w:rsidR="0070527F" w:rsidRPr="0070527F">
        <w:rPr>
          <w:rFonts w:ascii="Arial" w:hAnsi="Arial" w:cs="Arial"/>
          <w:b/>
          <w:sz w:val="22"/>
          <w:szCs w:val="22"/>
        </w:rPr>
        <w:t xml:space="preserve">, že efektivní konkurence funguje </w:t>
      </w:r>
      <w:r w:rsidR="0070527F" w:rsidRPr="0083047F">
        <w:rPr>
          <w:rFonts w:ascii="Arial" w:hAnsi="Arial" w:cs="Arial"/>
          <w:b/>
          <w:sz w:val="22"/>
          <w:szCs w:val="22"/>
        </w:rPr>
        <w:t>pouze</w:t>
      </w:r>
      <w:r w:rsidR="0070527F" w:rsidRPr="0070527F">
        <w:rPr>
          <w:rFonts w:ascii="Arial" w:hAnsi="Arial" w:cs="Arial"/>
          <w:b/>
          <w:sz w:val="22"/>
          <w:szCs w:val="22"/>
        </w:rPr>
        <w:t xml:space="preserve"> ve firemním segmentu</w:t>
      </w:r>
      <w:r w:rsidR="00CD71F0">
        <w:rPr>
          <w:rFonts w:ascii="Arial" w:hAnsi="Arial" w:cs="Arial"/>
          <w:b/>
          <w:sz w:val="22"/>
          <w:szCs w:val="22"/>
        </w:rPr>
        <w:t>)</w:t>
      </w:r>
      <w:r w:rsidR="0070527F" w:rsidRPr="0070527F">
        <w:rPr>
          <w:rFonts w:ascii="Arial" w:hAnsi="Arial" w:cs="Arial"/>
          <w:b/>
          <w:sz w:val="22"/>
          <w:szCs w:val="22"/>
        </w:rPr>
        <w:t xml:space="preserve"> a to</w:t>
      </w:r>
      <w:r w:rsidR="00CD71F0">
        <w:rPr>
          <w:rFonts w:ascii="Arial" w:hAnsi="Arial" w:cs="Arial"/>
          <w:b/>
          <w:sz w:val="22"/>
          <w:szCs w:val="22"/>
        </w:rPr>
        <w:t xml:space="preserve"> sice</w:t>
      </w:r>
      <w:r w:rsidR="0070527F">
        <w:rPr>
          <w:rFonts w:ascii="Arial" w:hAnsi="Arial" w:cs="Arial"/>
          <w:b/>
          <w:sz w:val="22"/>
          <w:szCs w:val="22"/>
        </w:rPr>
        <w:t>, že tyto data</w:t>
      </w:r>
      <w:r w:rsidR="0070527F" w:rsidRPr="0070527F">
        <w:rPr>
          <w:rFonts w:ascii="Arial" w:hAnsi="Arial" w:cs="Arial"/>
          <w:b/>
          <w:sz w:val="22"/>
          <w:szCs w:val="22"/>
        </w:rPr>
        <w:t xml:space="preserve"> </w:t>
      </w:r>
      <w:r w:rsidR="00CD71F0">
        <w:rPr>
          <w:rFonts w:ascii="Arial" w:hAnsi="Arial" w:cs="Arial"/>
          <w:b/>
          <w:sz w:val="22"/>
          <w:szCs w:val="22"/>
        </w:rPr>
        <w:t xml:space="preserve">bohužel nemohou </w:t>
      </w:r>
      <w:r w:rsidR="0070527F" w:rsidRPr="0070527F">
        <w:rPr>
          <w:rFonts w:ascii="Arial" w:hAnsi="Arial" w:cs="Arial"/>
          <w:b/>
          <w:sz w:val="22"/>
          <w:szCs w:val="22"/>
        </w:rPr>
        <w:t>zohled</w:t>
      </w:r>
      <w:r w:rsidR="0070527F">
        <w:rPr>
          <w:rFonts w:ascii="Arial" w:hAnsi="Arial" w:cs="Arial"/>
          <w:b/>
          <w:sz w:val="22"/>
          <w:szCs w:val="22"/>
        </w:rPr>
        <w:t>ň</w:t>
      </w:r>
      <w:r w:rsidR="00CD71F0">
        <w:rPr>
          <w:rFonts w:ascii="Arial" w:hAnsi="Arial" w:cs="Arial"/>
          <w:b/>
          <w:sz w:val="22"/>
          <w:szCs w:val="22"/>
        </w:rPr>
        <w:t>ovat</w:t>
      </w:r>
      <w:r w:rsidR="0070527F">
        <w:rPr>
          <w:rFonts w:ascii="Arial" w:hAnsi="Arial" w:cs="Arial"/>
          <w:b/>
          <w:sz w:val="22"/>
          <w:szCs w:val="22"/>
        </w:rPr>
        <w:t xml:space="preserve"> služ</w:t>
      </w:r>
      <w:r w:rsidR="0070527F" w:rsidRPr="0070527F">
        <w:rPr>
          <w:rFonts w:ascii="Arial" w:hAnsi="Arial" w:cs="Arial"/>
          <w:b/>
          <w:sz w:val="22"/>
          <w:szCs w:val="22"/>
        </w:rPr>
        <w:t>b</w:t>
      </w:r>
      <w:r w:rsidR="0070527F">
        <w:rPr>
          <w:rFonts w:ascii="Arial" w:hAnsi="Arial" w:cs="Arial"/>
          <w:b/>
          <w:sz w:val="22"/>
          <w:szCs w:val="22"/>
        </w:rPr>
        <w:t>y</w:t>
      </w:r>
      <w:r w:rsidR="0070527F" w:rsidRPr="0070527F">
        <w:rPr>
          <w:rFonts w:ascii="Arial" w:hAnsi="Arial" w:cs="Arial"/>
          <w:b/>
          <w:sz w:val="22"/>
          <w:szCs w:val="22"/>
        </w:rPr>
        <w:t xml:space="preserve">, které jsou </w:t>
      </w:r>
      <w:r w:rsidR="00BA2514">
        <w:rPr>
          <w:rFonts w:ascii="Arial" w:hAnsi="Arial" w:cs="Arial"/>
          <w:b/>
          <w:sz w:val="22"/>
          <w:szCs w:val="22"/>
        </w:rPr>
        <w:t>v rozporu se zákonem</w:t>
      </w:r>
      <w:r w:rsidR="00BA2514" w:rsidRPr="00BA2514">
        <w:rPr>
          <w:rFonts w:ascii="Arial" w:hAnsi="Arial" w:cs="Arial"/>
          <w:b/>
          <w:sz w:val="22"/>
          <w:szCs w:val="22"/>
        </w:rPr>
        <w:t xml:space="preserve"> o </w:t>
      </w:r>
      <w:r w:rsidR="00BA2514" w:rsidRPr="00BA2514">
        <w:rPr>
          <w:rFonts w:ascii="Arial" w:hAnsi="Arial" w:cs="Arial"/>
          <w:b/>
          <w:sz w:val="22"/>
          <w:szCs w:val="22"/>
        </w:rPr>
        <w:lastRenderedPageBreak/>
        <w:t xml:space="preserve">elektronických komunikacích </w:t>
      </w:r>
      <w:r w:rsidR="00BA2514">
        <w:rPr>
          <w:rFonts w:ascii="Arial" w:hAnsi="Arial" w:cs="Arial"/>
          <w:b/>
          <w:sz w:val="22"/>
          <w:szCs w:val="22"/>
        </w:rPr>
        <w:t>a dalšími zákonnými předpisy</w:t>
      </w:r>
      <w:r w:rsidR="001235D8">
        <w:rPr>
          <w:rFonts w:ascii="Arial" w:hAnsi="Arial" w:cs="Arial"/>
          <w:b/>
          <w:sz w:val="22"/>
          <w:szCs w:val="22"/>
        </w:rPr>
        <w:t>,</w:t>
      </w:r>
      <w:r w:rsidR="00BA2514">
        <w:rPr>
          <w:rFonts w:ascii="Arial" w:hAnsi="Arial" w:cs="Arial"/>
          <w:b/>
          <w:sz w:val="22"/>
          <w:szCs w:val="22"/>
        </w:rPr>
        <w:t xml:space="preserve"> </w:t>
      </w:r>
      <w:r w:rsidR="0070527F" w:rsidRPr="0070527F">
        <w:rPr>
          <w:rFonts w:ascii="Arial" w:hAnsi="Arial" w:cs="Arial"/>
          <w:b/>
          <w:sz w:val="22"/>
          <w:szCs w:val="22"/>
        </w:rPr>
        <w:t xml:space="preserve">maloobchodně </w:t>
      </w:r>
      <w:r w:rsidR="001235D8">
        <w:rPr>
          <w:rFonts w:ascii="Arial" w:hAnsi="Arial" w:cs="Arial"/>
          <w:b/>
          <w:sz w:val="22"/>
          <w:szCs w:val="22"/>
        </w:rPr>
        <w:t>nabízené především sektoru rezidentních zákazníků</w:t>
      </w:r>
      <w:r w:rsidR="001235D8" w:rsidRPr="0070527F">
        <w:rPr>
          <w:rFonts w:ascii="Arial" w:hAnsi="Arial" w:cs="Arial"/>
          <w:b/>
          <w:sz w:val="22"/>
          <w:szCs w:val="22"/>
        </w:rPr>
        <w:t xml:space="preserve"> </w:t>
      </w:r>
      <w:r w:rsidR="001235D8">
        <w:rPr>
          <w:rFonts w:ascii="Arial" w:hAnsi="Arial" w:cs="Arial"/>
          <w:b/>
          <w:sz w:val="22"/>
          <w:szCs w:val="22"/>
        </w:rPr>
        <w:t xml:space="preserve">ze strany </w:t>
      </w:r>
      <w:r w:rsidR="0070527F" w:rsidRPr="0070527F">
        <w:rPr>
          <w:rFonts w:ascii="Arial" w:hAnsi="Arial" w:cs="Arial"/>
          <w:b/>
          <w:sz w:val="22"/>
          <w:szCs w:val="22"/>
        </w:rPr>
        <w:t>šedý</w:t>
      </w:r>
      <w:r w:rsidR="001235D8">
        <w:rPr>
          <w:rFonts w:ascii="Arial" w:hAnsi="Arial" w:cs="Arial"/>
          <w:b/>
          <w:sz w:val="22"/>
          <w:szCs w:val="22"/>
        </w:rPr>
        <w:t>ch</w:t>
      </w:r>
      <w:r w:rsidR="0070527F" w:rsidRPr="0070527F">
        <w:rPr>
          <w:rFonts w:ascii="Arial" w:hAnsi="Arial" w:cs="Arial"/>
          <w:b/>
          <w:sz w:val="22"/>
          <w:szCs w:val="22"/>
        </w:rPr>
        <w:t xml:space="preserve"> operátor</w:t>
      </w:r>
      <w:r w:rsidR="001235D8">
        <w:rPr>
          <w:rFonts w:ascii="Arial" w:hAnsi="Arial" w:cs="Arial"/>
          <w:b/>
          <w:sz w:val="22"/>
          <w:szCs w:val="22"/>
        </w:rPr>
        <w:t>ů</w:t>
      </w:r>
      <w:r w:rsidR="00CD71F0">
        <w:rPr>
          <w:rFonts w:ascii="Arial" w:hAnsi="Arial" w:cs="Arial"/>
          <w:b/>
          <w:sz w:val="22"/>
          <w:szCs w:val="22"/>
        </w:rPr>
        <w:t xml:space="preserve"> </w:t>
      </w:r>
      <w:r w:rsidR="001235D8">
        <w:rPr>
          <w:rFonts w:ascii="Arial" w:hAnsi="Arial" w:cs="Arial"/>
          <w:b/>
          <w:sz w:val="22"/>
          <w:szCs w:val="22"/>
        </w:rPr>
        <w:t>(</w:t>
      </w:r>
      <w:r w:rsidR="003167BD">
        <w:rPr>
          <w:rFonts w:ascii="Arial" w:hAnsi="Arial" w:cs="Arial"/>
          <w:b/>
          <w:sz w:val="22"/>
          <w:szCs w:val="22"/>
        </w:rPr>
        <w:t xml:space="preserve">avšak dle statistik </w:t>
      </w:r>
      <w:r w:rsidR="001235D8">
        <w:rPr>
          <w:rFonts w:ascii="Arial" w:hAnsi="Arial" w:cs="Arial"/>
          <w:b/>
          <w:sz w:val="22"/>
          <w:szCs w:val="22"/>
        </w:rPr>
        <w:t>působící</w:t>
      </w:r>
      <w:r w:rsidR="00015FD4">
        <w:rPr>
          <w:rFonts w:ascii="Arial" w:hAnsi="Arial" w:cs="Arial"/>
          <w:b/>
          <w:sz w:val="22"/>
          <w:szCs w:val="22"/>
        </w:rPr>
        <w:t>ch</w:t>
      </w:r>
      <w:r w:rsidR="001235D8">
        <w:rPr>
          <w:rFonts w:ascii="Arial" w:hAnsi="Arial" w:cs="Arial"/>
          <w:b/>
          <w:sz w:val="22"/>
          <w:szCs w:val="22"/>
        </w:rPr>
        <w:t xml:space="preserve"> více či méně skrytě hlavně na firemním segmentu) </w:t>
      </w:r>
      <w:r w:rsidR="00CD71F0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dále i </w:t>
      </w:r>
      <w:r w:rsidR="00CD71F0">
        <w:rPr>
          <w:rFonts w:ascii="Arial" w:hAnsi="Arial" w:cs="Arial"/>
          <w:b/>
          <w:sz w:val="22"/>
          <w:szCs w:val="22"/>
        </w:rPr>
        <w:t xml:space="preserve">spolky </w:t>
      </w:r>
      <w:r w:rsidR="001235D8">
        <w:rPr>
          <w:rFonts w:ascii="Arial" w:hAnsi="Arial" w:cs="Arial"/>
          <w:b/>
          <w:sz w:val="22"/>
          <w:szCs w:val="22"/>
        </w:rPr>
        <w:t xml:space="preserve">(vydávajícími se za </w:t>
      </w:r>
      <w:r w:rsidR="00CD71F0">
        <w:rPr>
          <w:rFonts w:ascii="Arial" w:hAnsi="Arial" w:cs="Arial"/>
          <w:b/>
          <w:sz w:val="22"/>
          <w:szCs w:val="22"/>
        </w:rPr>
        <w:t>neziskové organizace</w:t>
      </w:r>
      <w:r w:rsidR="003167BD">
        <w:rPr>
          <w:rFonts w:ascii="Arial" w:hAnsi="Arial" w:cs="Arial"/>
          <w:b/>
          <w:sz w:val="22"/>
          <w:szCs w:val="22"/>
        </w:rPr>
        <w:t xml:space="preserve"> mimo sektor elektronických komunikací</w:t>
      </w:r>
      <w:r w:rsidR="001235D8">
        <w:rPr>
          <w:rFonts w:ascii="Arial" w:hAnsi="Arial" w:cs="Arial"/>
          <w:b/>
          <w:sz w:val="22"/>
          <w:szCs w:val="22"/>
        </w:rPr>
        <w:t>), čímž dochází k velkému zkreslení statistických dat i všech výsledků testu.</w:t>
      </w:r>
      <w:r w:rsidR="00CD71F0">
        <w:rPr>
          <w:rFonts w:ascii="Arial" w:hAnsi="Arial" w:cs="Arial"/>
          <w:b/>
          <w:sz w:val="22"/>
          <w:szCs w:val="22"/>
        </w:rPr>
        <w:t xml:space="preserve"> </w:t>
      </w:r>
    </w:p>
    <w:p w14:paraId="0CA2306D" w14:textId="77777777" w:rsidR="00015FD4" w:rsidRDefault="00015FD4" w:rsidP="00DD289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EB51D51" w14:textId="77777777" w:rsidR="00DD2895" w:rsidRDefault="00DD2895" w:rsidP="00DD2895">
      <w:pPr>
        <w:ind w:left="360"/>
        <w:rPr>
          <w:rFonts w:ascii="Arial" w:hAnsi="Arial" w:cs="Arial"/>
          <w:i/>
          <w:sz w:val="22"/>
          <w:szCs w:val="22"/>
        </w:rPr>
      </w:pPr>
      <w:r w:rsidRPr="00024677">
        <w:rPr>
          <w:rFonts w:ascii="Arial" w:hAnsi="Arial" w:cs="Arial"/>
          <w:i/>
          <w:sz w:val="22"/>
          <w:szCs w:val="22"/>
        </w:rPr>
        <w:t>Odůvodnění:</w:t>
      </w:r>
    </w:p>
    <w:p w14:paraId="2F94FB6F" w14:textId="77777777" w:rsidR="00DD2895" w:rsidRDefault="00DD2895" w:rsidP="00DD289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FE8005E" w14:textId="580CFBCE" w:rsidR="003167BD" w:rsidRDefault="00C01E11" w:rsidP="00DD289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62D31">
        <w:rPr>
          <w:rFonts w:ascii="Arial" w:hAnsi="Arial" w:cs="Arial"/>
          <w:sz w:val="22"/>
          <w:szCs w:val="22"/>
        </w:rPr>
        <w:t>a str</w:t>
      </w:r>
      <w:r w:rsidR="003167BD">
        <w:rPr>
          <w:rFonts w:ascii="Arial" w:hAnsi="Arial" w:cs="Arial"/>
          <w:sz w:val="22"/>
          <w:szCs w:val="22"/>
        </w:rPr>
        <w:t>.</w:t>
      </w:r>
      <w:r w:rsidR="00F62D31">
        <w:rPr>
          <w:rFonts w:ascii="Arial" w:hAnsi="Arial" w:cs="Arial"/>
          <w:sz w:val="22"/>
          <w:szCs w:val="22"/>
        </w:rPr>
        <w:t xml:space="preserve"> 57 </w:t>
      </w:r>
      <w:proofErr w:type="spellStart"/>
      <w:r w:rsidR="00F62D31">
        <w:rPr>
          <w:rFonts w:ascii="Arial" w:hAnsi="Arial" w:cs="Arial"/>
          <w:sz w:val="22"/>
          <w:szCs w:val="22"/>
        </w:rPr>
        <w:t>tříkriteriálního</w:t>
      </w:r>
      <w:proofErr w:type="spellEnd"/>
      <w:r w:rsidR="00F62D31">
        <w:rPr>
          <w:rFonts w:ascii="Arial" w:hAnsi="Arial" w:cs="Arial"/>
          <w:sz w:val="22"/>
          <w:szCs w:val="22"/>
        </w:rPr>
        <w:t xml:space="preserve"> testu</w:t>
      </w:r>
      <w:r w:rsidR="00DD2895">
        <w:rPr>
          <w:rFonts w:ascii="Arial" w:hAnsi="Arial" w:cs="Arial"/>
          <w:sz w:val="22"/>
          <w:szCs w:val="22"/>
        </w:rPr>
        <w:t xml:space="preserve"> při hodnocení druhé podmínky testu</w:t>
      </w:r>
      <w:r w:rsidR="00980B39">
        <w:rPr>
          <w:rFonts w:ascii="Arial" w:hAnsi="Arial" w:cs="Arial"/>
          <w:sz w:val="22"/>
          <w:szCs w:val="22"/>
        </w:rPr>
        <w:t xml:space="preserve"> tří kritérií na základě</w:t>
      </w:r>
      <w:r w:rsidR="00DD2895">
        <w:rPr>
          <w:rFonts w:ascii="Arial" w:hAnsi="Arial" w:cs="Arial"/>
          <w:sz w:val="22"/>
          <w:szCs w:val="22"/>
        </w:rPr>
        <w:t xml:space="preserve"> porovnání ARPU v segmentu domácností a segmentu </w:t>
      </w:r>
      <w:r w:rsidR="00980B39">
        <w:rPr>
          <w:rFonts w:ascii="Arial" w:hAnsi="Arial" w:cs="Arial"/>
          <w:sz w:val="22"/>
          <w:szCs w:val="22"/>
        </w:rPr>
        <w:t xml:space="preserve">firem </w:t>
      </w:r>
      <w:r>
        <w:rPr>
          <w:rFonts w:ascii="Arial" w:hAnsi="Arial" w:cs="Arial"/>
          <w:sz w:val="22"/>
          <w:szCs w:val="22"/>
        </w:rPr>
        <w:t xml:space="preserve">dochází ČTÚ </w:t>
      </w:r>
      <w:r w:rsidR="00980B39">
        <w:rPr>
          <w:rFonts w:ascii="Arial" w:hAnsi="Arial" w:cs="Arial"/>
          <w:sz w:val="22"/>
          <w:szCs w:val="22"/>
        </w:rPr>
        <w:t xml:space="preserve">k tomu, </w:t>
      </w:r>
      <w:r w:rsidR="00F62D31">
        <w:rPr>
          <w:rFonts w:ascii="Arial" w:hAnsi="Arial" w:cs="Arial"/>
          <w:sz w:val="22"/>
          <w:szCs w:val="22"/>
        </w:rPr>
        <w:t xml:space="preserve">že </w:t>
      </w:r>
      <w:r w:rsidR="00980B39" w:rsidRPr="00F62D31">
        <w:rPr>
          <w:rFonts w:ascii="Arial" w:hAnsi="Arial" w:cs="Arial"/>
          <w:i/>
          <w:sz w:val="22"/>
          <w:szCs w:val="22"/>
        </w:rPr>
        <w:t>„je tak přesvědčen, že pro regulační zásah přinejmenším v této části trhu (firemní zákazníci) tak již není prostor.</w:t>
      </w:r>
      <w:r w:rsidR="00F62D31" w:rsidRPr="00F62D31">
        <w:rPr>
          <w:rFonts w:ascii="Arial" w:hAnsi="Arial" w:cs="Arial"/>
          <w:i/>
          <w:sz w:val="22"/>
          <w:szCs w:val="22"/>
        </w:rPr>
        <w:t>“</w:t>
      </w:r>
      <w:r w:rsidR="00F62D31">
        <w:rPr>
          <w:rFonts w:ascii="Arial" w:hAnsi="Arial" w:cs="Arial"/>
          <w:i/>
          <w:sz w:val="22"/>
          <w:szCs w:val="22"/>
        </w:rPr>
        <w:t xml:space="preserve"> </w:t>
      </w:r>
      <w:r w:rsidR="00F62D31">
        <w:rPr>
          <w:rFonts w:ascii="Arial" w:hAnsi="Arial" w:cs="Arial"/>
          <w:sz w:val="22"/>
          <w:szCs w:val="22"/>
        </w:rPr>
        <w:t xml:space="preserve">V případě segmentu rezidentních zákazníků pak dochází k tomu, že </w:t>
      </w:r>
      <w:r w:rsidR="00F62D31" w:rsidRPr="00F62D31">
        <w:rPr>
          <w:rFonts w:ascii="Arial" w:hAnsi="Arial" w:cs="Arial"/>
          <w:i/>
          <w:sz w:val="22"/>
          <w:szCs w:val="22"/>
        </w:rPr>
        <w:t>„na tomto segmentu působí velké množství M</w:t>
      </w:r>
      <w:r w:rsidR="00F62D31">
        <w:rPr>
          <w:rFonts w:ascii="Arial" w:hAnsi="Arial" w:cs="Arial"/>
          <w:i/>
          <w:sz w:val="22"/>
          <w:szCs w:val="22"/>
        </w:rPr>
        <w:t>VNO, kteří ač nemají vysoký</w:t>
      </w:r>
      <w:r w:rsidR="00F62D31" w:rsidRPr="00F62D31">
        <w:rPr>
          <w:rFonts w:ascii="Arial" w:hAnsi="Arial" w:cs="Arial"/>
          <w:i/>
          <w:sz w:val="22"/>
          <w:szCs w:val="22"/>
        </w:rPr>
        <w:t xml:space="preserve"> tržní podíl, i tak tvoří konkurenční tlaky na síťové operátory, a jak u</w:t>
      </w:r>
      <w:r w:rsidR="00F62D31">
        <w:rPr>
          <w:rFonts w:ascii="Arial" w:hAnsi="Arial" w:cs="Arial"/>
          <w:i/>
          <w:sz w:val="22"/>
          <w:szCs w:val="22"/>
        </w:rPr>
        <w:t xml:space="preserve">kazuje Graf č. 7, průměrná </w:t>
      </w:r>
      <w:r w:rsidR="00F62D31" w:rsidRPr="00F62D31">
        <w:rPr>
          <w:rFonts w:ascii="Arial" w:hAnsi="Arial" w:cs="Arial"/>
          <w:i/>
          <w:sz w:val="22"/>
          <w:szCs w:val="22"/>
        </w:rPr>
        <w:t xml:space="preserve">cena za 1 </w:t>
      </w:r>
      <w:proofErr w:type="spellStart"/>
      <w:r w:rsidR="00F62D31" w:rsidRPr="00F62D31">
        <w:rPr>
          <w:rFonts w:ascii="Arial" w:hAnsi="Arial" w:cs="Arial"/>
          <w:i/>
          <w:sz w:val="22"/>
          <w:szCs w:val="22"/>
        </w:rPr>
        <w:t>originovanou</w:t>
      </w:r>
      <w:proofErr w:type="spellEnd"/>
      <w:r w:rsidR="00F62D31" w:rsidRPr="00F62D31">
        <w:rPr>
          <w:rFonts w:ascii="Arial" w:hAnsi="Arial" w:cs="Arial"/>
          <w:i/>
          <w:sz w:val="22"/>
          <w:szCs w:val="22"/>
        </w:rPr>
        <w:t xml:space="preserve"> minutu hovoru klesá u obou segmentů, tedy i u segmentu d</w:t>
      </w:r>
      <w:r w:rsidR="00F62D31">
        <w:rPr>
          <w:rFonts w:ascii="Arial" w:hAnsi="Arial" w:cs="Arial"/>
          <w:i/>
          <w:sz w:val="22"/>
          <w:szCs w:val="22"/>
        </w:rPr>
        <w:t>omácností,</w:t>
      </w:r>
      <w:r w:rsidR="00F62D31" w:rsidRPr="00F62D31">
        <w:rPr>
          <w:rFonts w:ascii="Arial" w:hAnsi="Arial" w:cs="Arial"/>
          <w:i/>
          <w:sz w:val="22"/>
          <w:szCs w:val="22"/>
        </w:rPr>
        <w:t xml:space="preserve"> což svědčí o konkurenci na segmentu domácností.“</w:t>
      </w:r>
      <w:r w:rsidR="00F62D31">
        <w:rPr>
          <w:rFonts w:ascii="Arial" w:hAnsi="Arial" w:cs="Arial"/>
          <w:i/>
          <w:sz w:val="22"/>
          <w:szCs w:val="22"/>
        </w:rPr>
        <w:t xml:space="preserve"> </w:t>
      </w:r>
      <w:r w:rsidR="00F62D31">
        <w:rPr>
          <w:rFonts w:ascii="Arial" w:hAnsi="Arial" w:cs="Arial"/>
          <w:sz w:val="22"/>
          <w:szCs w:val="22"/>
        </w:rPr>
        <w:t xml:space="preserve">Vzhledem k závěru této kapitoly, ve které </w:t>
      </w:r>
      <w:r w:rsidR="003167BD">
        <w:rPr>
          <w:rFonts w:ascii="Arial" w:hAnsi="Arial" w:cs="Arial"/>
          <w:sz w:val="22"/>
          <w:szCs w:val="22"/>
        </w:rPr>
        <w:t xml:space="preserve">ČTÚ </w:t>
      </w:r>
      <w:r w:rsidR="00F67DE9">
        <w:rPr>
          <w:rFonts w:ascii="Arial" w:hAnsi="Arial" w:cs="Arial"/>
          <w:sz w:val="22"/>
          <w:szCs w:val="22"/>
        </w:rPr>
        <w:t>konstatuje, že 2. podmínka testu byla splněna</w:t>
      </w:r>
      <w:r w:rsidR="008D48CD">
        <w:rPr>
          <w:rFonts w:ascii="Arial" w:hAnsi="Arial" w:cs="Arial"/>
          <w:sz w:val="22"/>
          <w:szCs w:val="22"/>
        </w:rPr>
        <w:t>,</w:t>
      </w:r>
      <w:r w:rsidR="00F67DE9">
        <w:rPr>
          <w:rFonts w:ascii="Arial" w:hAnsi="Arial" w:cs="Arial"/>
          <w:sz w:val="22"/>
          <w:szCs w:val="22"/>
        </w:rPr>
        <w:t xml:space="preserve"> lze odvodit, že v případě rezidentního segmentu prostor pro regulační zásah spatřuje, protože podle něj rezidentní trh funguje </w:t>
      </w:r>
      <w:r w:rsidR="00F67DE9" w:rsidRPr="008D48CD">
        <w:rPr>
          <w:rFonts w:ascii="Arial" w:hAnsi="Arial" w:cs="Arial"/>
          <w:i/>
          <w:sz w:val="22"/>
          <w:szCs w:val="22"/>
        </w:rPr>
        <w:t>pouze</w:t>
      </w:r>
      <w:r w:rsidR="00F67DE9">
        <w:rPr>
          <w:rFonts w:ascii="Arial" w:hAnsi="Arial" w:cs="Arial"/>
          <w:sz w:val="22"/>
          <w:szCs w:val="22"/>
        </w:rPr>
        <w:t xml:space="preserve"> velmi dobře a nikoliv perfektně jako segment firemních zákazníků. </w:t>
      </w:r>
    </w:p>
    <w:p w14:paraId="2E54ACC2" w14:textId="77777777" w:rsidR="003167BD" w:rsidRDefault="003167BD" w:rsidP="00DD289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5328E6E" w14:textId="2C88A162" w:rsidR="00DD2895" w:rsidRDefault="00F67DE9" w:rsidP="00DD289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O2 se proti podobným vyjádřením ostře ohrazuje a nesouhlasí s </w:t>
      </w:r>
      <w:r w:rsidR="003167BD">
        <w:rPr>
          <w:rFonts w:ascii="Arial" w:hAnsi="Arial" w:cs="Arial"/>
          <w:sz w:val="22"/>
          <w:szCs w:val="22"/>
        </w:rPr>
        <w:t>ČTÚ</w:t>
      </w:r>
      <w:r>
        <w:rPr>
          <w:rFonts w:ascii="Arial" w:hAnsi="Arial" w:cs="Arial"/>
          <w:sz w:val="22"/>
          <w:szCs w:val="22"/>
        </w:rPr>
        <w:t xml:space="preserve"> v tom, že pokud by segment rezidentních zákazníků fungoval </w:t>
      </w:r>
      <w:r w:rsidR="00C01E11">
        <w:rPr>
          <w:rFonts w:ascii="Arial" w:hAnsi="Arial" w:cs="Arial"/>
          <w:sz w:val="22"/>
          <w:szCs w:val="22"/>
        </w:rPr>
        <w:t xml:space="preserve">dle hodnocení ČTÚ </w:t>
      </w:r>
      <w:r>
        <w:rPr>
          <w:rFonts w:ascii="Arial" w:hAnsi="Arial" w:cs="Arial"/>
          <w:sz w:val="22"/>
          <w:szCs w:val="22"/>
        </w:rPr>
        <w:t>pouze (!) velmi dobře</w:t>
      </w:r>
      <w:r w:rsidR="003167BD">
        <w:rPr>
          <w:rFonts w:ascii="Arial" w:hAnsi="Arial" w:cs="Arial"/>
          <w:sz w:val="22"/>
          <w:szCs w:val="22"/>
        </w:rPr>
        <w:t>, tak</w:t>
      </w:r>
      <w:r>
        <w:rPr>
          <w:rFonts w:ascii="Arial" w:hAnsi="Arial" w:cs="Arial"/>
          <w:sz w:val="22"/>
          <w:szCs w:val="22"/>
        </w:rPr>
        <w:t xml:space="preserve"> je </w:t>
      </w:r>
      <w:r w:rsidR="003167BD">
        <w:rPr>
          <w:rFonts w:ascii="Arial" w:hAnsi="Arial" w:cs="Arial"/>
          <w:sz w:val="22"/>
          <w:szCs w:val="22"/>
        </w:rPr>
        <w:t xml:space="preserve">již </w:t>
      </w:r>
      <w:r>
        <w:rPr>
          <w:rFonts w:ascii="Arial" w:hAnsi="Arial" w:cs="Arial"/>
          <w:sz w:val="22"/>
          <w:szCs w:val="22"/>
        </w:rPr>
        <w:t xml:space="preserve">nutno přikročit k ex ante regulaci. Pokud chce </w:t>
      </w:r>
      <w:r w:rsidR="003167BD">
        <w:rPr>
          <w:rFonts w:ascii="Arial" w:hAnsi="Arial" w:cs="Arial"/>
          <w:sz w:val="22"/>
          <w:szCs w:val="22"/>
        </w:rPr>
        <w:t xml:space="preserve">ČTÚ </w:t>
      </w:r>
      <w:r>
        <w:rPr>
          <w:rFonts w:ascii="Arial" w:hAnsi="Arial" w:cs="Arial"/>
          <w:sz w:val="22"/>
          <w:szCs w:val="22"/>
        </w:rPr>
        <w:t>zajistit fungující tržní prostředí, měl by k regulačním zásahům přikročit až jako k</w:t>
      </w:r>
      <w:r w:rsidR="003167BD">
        <w:rPr>
          <w:rFonts w:ascii="Arial" w:hAnsi="Arial" w:cs="Arial"/>
          <w:sz w:val="22"/>
          <w:szCs w:val="22"/>
        </w:rPr>
        <w:t xml:space="preserve"> úplně </w:t>
      </w:r>
      <w:r>
        <w:rPr>
          <w:rFonts w:ascii="Arial" w:hAnsi="Arial" w:cs="Arial"/>
          <w:sz w:val="22"/>
          <w:szCs w:val="22"/>
        </w:rPr>
        <w:t>poslední možnosti při n</w:t>
      </w:r>
      <w:r w:rsidR="008D48CD">
        <w:rPr>
          <w:rFonts w:ascii="Arial" w:hAnsi="Arial" w:cs="Arial"/>
          <w:sz w:val="22"/>
          <w:szCs w:val="22"/>
        </w:rPr>
        <w:t>efungujících tržních podmínkách</w:t>
      </w:r>
      <w:r w:rsidR="00C01E11">
        <w:rPr>
          <w:rFonts w:ascii="Arial" w:hAnsi="Arial" w:cs="Arial"/>
          <w:sz w:val="22"/>
          <w:szCs w:val="22"/>
        </w:rPr>
        <w:t xml:space="preserve"> a nikoliv při velmi dobře fungujících tržních podmínkách</w:t>
      </w:r>
      <w:r w:rsidR="00E37504">
        <w:rPr>
          <w:rFonts w:ascii="Arial" w:hAnsi="Arial" w:cs="Arial"/>
          <w:sz w:val="22"/>
          <w:szCs w:val="22"/>
        </w:rPr>
        <w:t>, jak konstatuje ČTÚ</w:t>
      </w:r>
      <w:r w:rsidR="008D48CD">
        <w:rPr>
          <w:rFonts w:ascii="Arial" w:hAnsi="Arial" w:cs="Arial"/>
          <w:sz w:val="22"/>
          <w:szCs w:val="22"/>
        </w:rPr>
        <w:t xml:space="preserve">. </w:t>
      </w:r>
      <w:r w:rsidR="003167BD">
        <w:rPr>
          <w:rFonts w:ascii="Arial" w:hAnsi="Arial" w:cs="Arial"/>
          <w:sz w:val="22"/>
          <w:szCs w:val="22"/>
        </w:rPr>
        <w:t>ČTÚ</w:t>
      </w:r>
      <w:r w:rsidR="008D48CD" w:rsidRPr="008D48CD">
        <w:rPr>
          <w:rFonts w:ascii="Arial" w:hAnsi="Arial" w:cs="Arial"/>
          <w:sz w:val="22"/>
          <w:szCs w:val="22"/>
        </w:rPr>
        <w:t xml:space="preserve"> by </w:t>
      </w:r>
      <w:r w:rsidR="008D48CD">
        <w:rPr>
          <w:rFonts w:ascii="Arial" w:hAnsi="Arial" w:cs="Arial"/>
          <w:sz w:val="22"/>
          <w:szCs w:val="22"/>
        </w:rPr>
        <w:t xml:space="preserve">tedy </w:t>
      </w:r>
      <w:r w:rsidR="008D48CD" w:rsidRPr="008D48CD">
        <w:rPr>
          <w:rFonts w:ascii="Arial" w:hAnsi="Arial" w:cs="Arial"/>
          <w:sz w:val="22"/>
          <w:szCs w:val="22"/>
        </w:rPr>
        <w:t>neměl hledat prostor k</w:t>
      </w:r>
      <w:r w:rsidR="003167BD">
        <w:rPr>
          <w:rFonts w:ascii="Arial" w:hAnsi="Arial" w:cs="Arial"/>
          <w:sz w:val="22"/>
          <w:szCs w:val="22"/>
        </w:rPr>
        <w:t xml:space="preserve"> uvalení </w:t>
      </w:r>
      <w:r w:rsidR="008D48CD" w:rsidRPr="008D48CD">
        <w:rPr>
          <w:rFonts w:ascii="Arial" w:hAnsi="Arial" w:cs="Arial"/>
          <w:sz w:val="22"/>
          <w:szCs w:val="22"/>
        </w:rPr>
        <w:t>regula</w:t>
      </w:r>
      <w:r w:rsidR="003167BD">
        <w:rPr>
          <w:rFonts w:ascii="Arial" w:hAnsi="Arial" w:cs="Arial"/>
          <w:sz w:val="22"/>
          <w:szCs w:val="22"/>
        </w:rPr>
        <w:t>čních opatření za každých okolností</w:t>
      </w:r>
      <w:r w:rsidR="008D48CD" w:rsidRPr="008D48CD">
        <w:rPr>
          <w:rFonts w:ascii="Arial" w:hAnsi="Arial" w:cs="Arial"/>
          <w:sz w:val="22"/>
          <w:szCs w:val="22"/>
        </w:rPr>
        <w:t>,</w:t>
      </w:r>
      <w:r w:rsidR="003167BD">
        <w:rPr>
          <w:rFonts w:ascii="Arial" w:hAnsi="Arial" w:cs="Arial"/>
          <w:sz w:val="22"/>
          <w:szCs w:val="22"/>
        </w:rPr>
        <w:t xml:space="preserve"> a tedy dokonce když je přesvědčen o fungující konkurenci na segmentu domácností, </w:t>
      </w:r>
      <w:r w:rsidR="008D48CD">
        <w:rPr>
          <w:rFonts w:ascii="Arial" w:hAnsi="Arial" w:cs="Arial"/>
          <w:sz w:val="22"/>
          <w:szCs w:val="22"/>
        </w:rPr>
        <w:t>jak výše sám formuluje,</w:t>
      </w:r>
      <w:r w:rsidR="008D48CD" w:rsidRPr="008D48CD">
        <w:rPr>
          <w:rFonts w:ascii="Arial" w:hAnsi="Arial" w:cs="Arial"/>
          <w:sz w:val="22"/>
          <w:szCs w:val="22"/>
        </w:rPr>
        <w:t xml:space="preserve"> ale </w:t>
      </w:r>
      <w:r w:rsidR="008D48CD">
        <w:rPr>
          <w:rFonts w:ascii="Arial" w:hAnsi="Arial" w:cs="Arial"/>
          <w:sz w:val="22"/>
          <w:szCs w:val="22"/>
        </w:rPr>
        <w:t xml:space="preserve">pouze </w:t>
      </w:r>
      <w:r w:rsidR="003167BD">
        <w:rPr>
          <w:rFonts w:ascii="Arial" w:hAnsi="Arial" w:cs="Arial"/>
          <w:sz w:val="22"/>
          <w:szCs w:val="22"/>
        </w:rPr>
        <w:t xml:space="preserve">by měl vyhodnocovat </w:t>
      </w:r>
      <w:r w:rsidR="008D48CD">
        <w:rPr>
          <w:rFonts w:ascii="Arial" w:hAnsi="Arial" w:cs="Arial"/>
          <w:sz w:val="22"/>
          <w:szCs w:val="22"/>
        </w:rPr>
        <w:t xml:space="preserve">situace či </w:t>
      </w:r>
      <w:r w:rsidR="008D48CD" w:rsidRPr="008D48CD">
        <w:rPr>
          <w:rFonts w:ascii="Arial" w:hAnsi="Arial" w:cs="Arial"/>
          <w:sz w:val="22"/>
          <w:szCs w:val="22"/>
        </w:rPr>
        <w:t>stavy, které regula</w:t>
      </w:r>
      <w:r w:rsidR="003167BD">
        <w:rPr>
          <w:rFonts w:ascii="Arial" w:hAnsi="Arial" w:cs="Arial"/>
          <w:sz w:val="22"/>
          <w:szCs w:val="22"/>
        </w:rPr>
        <w:t>ční zásahy</w:t>
      </w:r>
      <w:r w:rsidR="008D48CD" w:rsidRPr="008D48CD">
        <w:rPr>
          <w:rFonts w:ascii="Arial" w:hAnsi="Arial" w:cs="Arial"/>
          <w:sz w:val="22"/>
          <w:szCs w:val="22"/>
        </w:rPr>
        <w:t xml:space="preserve"> </w:t>
      </w:r>
      <w:r w:rsidR="003167BD">
        <w:rPr>
          <w:rFonts w:ascii="Arial" w:hAnsi="Arial" w:cs="Arial"/>
          <w:sz w:val="22"/>
          <w:szCs w:val="22"/>
        </w:rPr>
        <w:t xml:space="preserve">ex ante </w:t>
      </w:r>
      <w:r w:rsidR="00C01E11">
        <w:rPr>
          <w:rFonts w:ascii="Arial" w:hAnsi="Arial" w:cs="Arial"/>
          <w:sz w:val="22"/>
          <w:szCs w:val="22"/>
        </w:rPr>
        <w:t xml:space="preserve">skutečně </w:t>
      </w:r>
      <w:r w:rsidR="008D48CD" w:rsidRPr="008D48CD">
        <w:rPr>
          <w:rFonts w:ascii="Arial" w:hAnsi="Arial" w:cs="Arial"/>
          <w:sz w:val="22"/>
          <w:szCs w:val="22"/>
        </w:rPr>
        <w:t>vyžadují</w:t>
      </w:r>
      <w:r w:rsidR="00C01E11">
        <w:rPr>
          <w:rFonts w:ascii="Arial" w:hAnsi="Arial" w:cs="Arial"/>
          <w:sz w:val="22"/>
          <w:szCs w:val="22"/>
        </w:rPr>
        <w:t xml:space="preserve"> v důsledku tržních selhání</w:t>
      </w:r>
      <w:r w:rsidR="008D48CD" w:rsidRPr="008D48CD">
        <w:rPr>
          <w:rFonts w:ascii="Arial" w:hAnsi="Arial" w:cs="Arial"/>
          <w:sz w:val="22"/>
          <w:szCs w:val="22"/>
        </w:rPr>
        <w:t>.</w:t>
      </w:r>
      <w:r w:rsidR="001D406F">
        <w:rPr>
          <w:rFonts w:ascii="Arial" w:hAnsi="Arial" w:cs="Arial"/>
          <w:sz w:val="22"/>
          <w:szCs w:val="22"/>
        </w:rPr>
        <w:t xml:space="preserve"> A to zvláště za situace, kdy na jiných místech dokumentu ČTÚ velmi dobře pojmenovává a identifikuje, že značná část z celého trhu funguje na nelegální bázi v podobě poskytování služeb ze strany nelegálních šedých operátorů, zaměstnaneckých programů a rovněž některých spolků</w:t>
      </w:r>
      <w:r w:rsidR="00633455">
        <w:rPr>
          <w:rFonts w:ascii="Arial" w:hAnsi="Arial" w:cs="Arial"/>
          <w:sz w:val="22"/>
          <w:szCs w:val="22"/>
        </w:rPr>
        <w:t>, a tedy identifikuje</w:t>
      </w:r>
      <w:r w:rsidR="001D406F">
        <w:rPr>
          <w:rFonts w:ascii="Arial" w:hAnsi="Arial" w:cs="Arial"/>
          <w:sz w:val="22"/>
          <w:szCs w:val="22"/>
        </w:rPr>
        <w:t xml:space="preserve"> příčinu pokřivení trhu a ztížené konkurenceschopnosti subjektů typu MVNO</w:t>
      </w:r>
      <w:r w:rsidR="00633455">
        <w:rPr>
          <w:rFonts w:ascii="Arial" w:hAnsi="Arial" w:cs="Arial"/>
          <w:sz w:val="22"/>
          <w:szCs w:val="22"/>
        </w:rPr>
        <w:t>.</w:t>
      </w:r>
    </w:p>
    <w:p w14:paraId="5BF1665E" w14:textId="77777777" w:rsidR="00F67DE9" w:rsidRDefault="00F67DE9" w:rsidP="00DD289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FF165B2" w14:textId="4E3AA208" w:rsidR="004F7E1B" w:rsidRDefault="003167BD" w:rsidP="00DD289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Kromě toho </w:t>
      </w:r>
      <w:r w:rsidR="00F67DE9">
        <w:rPr>
          <w:rFonts w:ascii="Arial" w:hAnsi="Arial" w:cs="Arial"/>
          <w:sz w:val="22"/>
          <w:szCs w:val="22"/>
        </w:rPr>
        <w:t xml:space="preserve">je nutné se podívat </w:t>
      </w:r>
      <w:r>
        <w:rPr>
          <w:rFonts w:ascii="Arial" w:hAnsi="Arial" w:cs="Arial"/>
          <w:sz w:val="22"/>
          <w:szCs w:val="22"/>
        </w:rPr>
        <w:t xml:space="preserve">rovněž </w:t>
      </w:r>
      <w:r w:rsidR="00F67DE9">
        <w:rPr>
          <w:rFonts w:ascii="Arial" w:hAnsi="Arial" w:cs="Arial"/>
          <w:sz w:val="22"/>
          <w:szCs w:val="22"/>
        </w:rPr>
        <w:t xml:space="preserve">na validitu dat, ze kterých </w:t>
      </w:r>
      <w:r w:rsidR="00C60743">
        <w:rPr>
          <w:rFonts w:ascii="Arial" w:hAnsi="Arial" w:cs="Arial"/>
          <w:sz w:val="22"/>
          <w:szCs w:val="22"/>
        </w:rPr>
        <w:t xml:space="preserve">ČTÚ </w:t>
      </w:r>
      <w:r w:rsidR="008D48CD">
        <w:rPr>
          <w:rFonts w:ascii="Arial" w:hAnsi="Arial" w:cs="Arial"/>
          <w:sz w:val="22"/>
          <w:szCs w:val="22"/>
        </w:rPr>
        <w:t xml:space="preserve">v tomto případě </w:t>
      </w:r>
      <w:r w:rsidR="00F67DE9">
        <w:rPr>
          <w:rFonts w:ascii="Arial" w:hAnsi="Arial" w:cs="Arial"/>
          <w:sz w:val="22"/>
          <w:szCs w:val="22"/>
        </w:rPr>
        <w:t xml:space="preserve">vychází. </w:t>
      </w:r>
      <w:r w:rsidR="00C57E11">
        <w:rPr>
          <w:rFonts w:ascii="Arial" w:hAnsi="Arial" w:cs="Arial"/>
          <w:sz w:val="22"/>
          <w:szCs w:val="22"/>
        </w:rPr>
        <w:t>Sám</w:t>
      </w:r>
      <w:r w:rsidR="00F67DE9">
        <w:rPr>
          <w:rFonts w:ascii="Arial" w:hAnsi="Arial" w:cs="Arial"/>
          <w:sz w:val="22"/>
          <w:szCs w:val="22"/>
        </w:rPr>
        <w:t xml:space="preserve"> </w:t>
      </w:r>
      <w:r w:rsidR="00C60743">
        <w:rPr>
          <w:rFonts w:ascii="Arial" w:hAnsi="Arial" w:cs="Arial"/>
          <w:sz w:val="22"/>
          <w:szCs w:val="22"/>
        </w:rPr>
        <w:t xml:space="preserve">ČTÚ </w:t>
      </w:r>
      <w:r w:rsidR="00F67DE9">
        <w:rPr>
          <w:rFonts w:ascii="Arial" w:hAnsi="Arial" w:cs="Arial"/>
          <w:sz w:val="22"/>
          <w:szCs w:val="22"/>
        </w:rPr>
        <w:t xml:space="preserve">v jiných částech </w:t>
      </w:r>
      <w:proofErr w:type="spellStart"/>
      <w:r w:rsidR="00F67DE9">
        <w:rPr>
          <w:rFonts w:ascii="Arial" w:hAnsi="Arial" w:cs="Arial"/>
          <w:sz w:val="22"/>
          <w:szCs w:val="22"/>
        </w:rPr>
        <w:t>tříkriteriálního</w:t>
      </w:r>
      <w:proofErr w:type="spellEnd"/>
      <w:r w:rsidR="00F67DE9">
        <w:rPr>
          <w:rFonts w:ascii="Arial" w:hAnsi="Arial" w:cs="Arial"/>
          <w:sz w:val="22"/>
          <w:szCs w:val="22"/>
        </w:rPr>
        <w:t xml:space="preserve"> testu </w:t>
      </w:r>
      <w:r w:rsidR="008D48CD">
        <w:rPr>
          <w:rFonts w:ascii="Arial" w:hAnsi="Arial" w:cs="Arial"/>
          <w:sz w:val="22"/>
          <w:szCs w:val="22"/>
        </w:rPr>
        <w:t>zmiňuje to,</w:t>
      </w:r>
      <w:r w:rsidR="00F67DE9">
        <w:rPr>
          <w:rFonts w:ascii="Arial" w:hAnsi="Arial" w:cs="Arial"/>
          <w:sz w:val="22"/>
          <w:szCs w:val="22"/>
        </w:rPr>
        <w:t xml:space="preserve"> že na trhu firemních zákazníků vystupují tzv. „šedí operátoři“, kteří jsou ve skutečnosti nelegálními </w:t>
      </w:r>
      <w:proofErr w:type="spellStart"/>
      <w:r w:rsidR="00F67DE9">
        <w:rPr>
          <w:rFonts w:ascii="Arial" w:hAnsi="Arial" w:cs="Arial"/>
          <w:sz w:val="22"/>
          <w:szCs w:val="22"/>
        </w:rPr>
        <w:t>přeprodejci</w:t>
      </w:r>
      <w:proofErr w:type="spellEnd"/>
      <w:r w:rsidR="00F67DE9">
        <w:rPr>
          <w:rFonts w:ascii="Arial" w:hAnsi="Arial" w:cs="Arial"/>
          <w:sz w:val="22"/>
          <w:szCs w:val="22"/>
        </w:rPr>
        <w:t xml:space="preserve"> služeb</w:t>
      </w:r>
      <w:r w:rsidR="00C57E11">
        <w:rPr>
          <w:rFonts w:ascii="Arial" w:hAnsi="Arial" w:cs="Arial"/>
          <w:sz w:val="22"/>
          <w:szCs w:val="22"/>
        </w:rPr>
        <w:t xml:space="preserve"> a </w:t>
      </w:r>
      <w:r w:rsidR="008D48CD">
        <w:rPr>
          <w:rFonts w:ascii="Arial" w:hAnsi="Arial" w:cs="Arial"/>
          <w:sz w:val="22"/>
          <w:szCs w:val="22"/>
        </w:rPr>
        <w:t xml:space="preserve">jimi nabízené </w:t>
      </w:r>
      <w:r w:rsidR="00C57E11">
        <w:rPr>
          <w:rFonts w:ascii="Arial" w:hAnsi="Arial" w:cs="Arial"/>
          <w:sz w:val="22"/>
          <w:szCs w:val="22"/>
        </w:rPr>
        <w:t>služby jsou tak ve skutečnosti využívány segmentem domácností.</w:t>
      </w:r>
      <w:r w:rsidR="00C60743">
        <w:rPr>
          <w:rFonts w:ascii="Arial" w:hAnsi="Arial" w:cs="Arial"/>
          <w:sz w:val="22"/>
          <w:szCs w:val="22"/>
        </w:rPr>
        <w:t xml:space="preserve"> Kromě šedých operátorů se vyskytují na trhu</w:t>
      </w:r>
      <w:r w:rsidR="004F7E1B">
        <w:rPr>
          <w:rFonts w:ascii="Arial" w:hAnsi="Arial" w:cs="Arial"/>
          <w:sz w:val="22"/>
          <w:szCs w:val="22"/>
        </w:rPr>
        <w:t xml:space="preserve"> elektronických komunikací</w:t>
      </w:r>
      <w:r w:rsidR="00C60743">
        <w:rPr>
          <w:rFonts w:ascii="Arial" w:hAnsi="Arial" w:cs="Arial"/>
          <w:sz w:val="22"/>
          <w:szCs w:val="22"/>
        </w:rPr>
        <w:t xml:space="preserve"> </w:t>
      </w:r>
      <w:r w:rsidR="00015FD4">
        <w:rPr>
          <w:rFonts w:ascii="Arial" w:hAnsi="Arial" w:cs="Arial"/>
          <w:sz w:val="22"/>
          <w:szCs w:val="22"/>
        </w:rPr>
        <w:t>již zm</w:t>
      </w:r>
      <w:r w:rsidR="00C60743">
        <w:rPr>
          <w:rFonts w:ascii="Arial" w:hAnsi="Arial" w:cs="Arial"/>
          <w:sz w:val="22"/>
          <w:szCs w:val="22"/>
        </w:rPr>
        <w:t>i</w:t>
      </w:r>
      <w:r w:rsidR="00015FD4">
        <w:rPr>
          <w:rFonts w:ascii="Arial" w:hAnsi="Arial" w:cs="Arial"/>
          <w:sz w:val="22"/>
          <w:szCs w:val="22"/>
        </w:rPr>
        <w:t>ňované</w:t>
      </w:r>
      <w:r w:rsidR="00C60743">
        <w:rPr>
          <w:rFonts w:ascii="Arial" w:hAnsi="Arial" w:cs="Arial"/>
          <w:sz w:val="22"/>
          <w:szCs w:val="22"/>
        </w:rPr>
        <w:t xml:space="preserve"> </w:t>
      </w:r>
      <w:r w:rsidR="004F7E1B">
        <w:rPr>
          <w:rFonts w:ascii="Arial" w:hAnsi="Arial" w:cs="Arial"/>
          <w:sz w:val="22"/>
          <w:szCs w:val="22"/>
        </w:rPr>
        <w:t xml:space="preserve">další nelegálně působící subjekty, a to </w:t>
      </w:r>
      <w:r w:rsidR="00C60743">
        <w:rPr>
          <w:rFonts w:ascii="Arial" w:hAnsi="Arial" w:cs="Arial"/>
          <w:sz w:val="22"/>
          <w:szCs w:val="22"/>
        </w:rPr>
        <w:t>spolky, které</w:t>
      </w:r>
      <w:r w:rsidR="004F7E1B">
        <w:rPr>
          <w:rFonts w:ascii="Arial" w:hAnsi="Arial" w:cs="Arial"/>
          <w:sz w:val="22"/>
          <w:szCs w:val="22"/>
        </w:rPr>
        <w:t xml:space="preserve"> </w:t>
      </w:r>
      <w:r w:rsidR="00015FD4">
        <w:rPr>
          <w:rFonts w:ascii="Arial" w:hAnsi="Arial" w:cs="Arial"/>
          <w:sz w:val="22"/>
          <w:szCs w:val="22"/>
        </w:rPr>
        <w:t xml:space="preserve">rovněž </w:t>
      </w:r>
      <w:r w:rsidR="004F7E1B">
        <w:rPr>
          <w:rFonts w:ascii="Arial" w:hAnsi="Arial" w:cs="Arial"/>
          <w:sz w:val="22"/>
          <w:szCs w:val="22"/>
        </w:rPr>
        <w:t>narušují rovné podmínky na trhu</w:t>
      </w:r>
      <w:r w:rsidR="00015FD4">
        <w:rPr>
          <w:rFonts w:ascii="Arial" w:hAnsi="Arial" w:cs="Arial"/>
          <w:sz w:val="22"/>
          <w:szCs w:val="22"/>
        </w:rPr>
        <w:t xml:space="preserve"> a zkreslují statistické údaje</w:t>
      </w:r>
      <w:r w:rsidR="004F7E1B">
        <w:rPr>
          <w:rFonts w:ascii="Arial" w:hAnsi="Arial" w:cs="Arial"/>
          <w:sz w:val="22"/>
          <w:szCs w:val="22"/>
        </w:rPr>
        <w:t xml:space="preserve">. </w:t>
      </w:r>
      <w:r w:rsidR="00C60743">
        <w:rPr>
          <w:rFonts w:ascii="Arial" w:hAnsi="Arial" w:cs="Arial"/>
          <w:sz w:val="22"/>
          <w:szCs w:val="22"/>
        </w:rPr>
        <w:t xml:space="preserve"> </w:t>
      </w:r>
      <w:r w:rsidR="00C57E11">
        <w:rPr>
          <w:rFonts w:ascii="Arial" w:hAnsi="Arial" w:cs="Arial"/>
          <w:sz w:val="22"/>
          <w:szCs w:val="22"/>
        </w:rPr>
        <w:t xml:space="preserve"> </w:t>
      </w:r>
    </w:p>
    <w:p w14:paraId="0DBB3E90" w14:textId="77777777" w:rsidR="004F7E1B" w:rsidRDefault="004F7E1B" w:rsidP="00DD289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6F10135" w14:textId="22B75E7F" w:rsidR="00F67DE9" w:rsidRDefault="00DC6B25" w:rsidP="00DD289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Vyšší rozdíl v ARPU u segmentů firemních zákazníků a rezidentních zákazníků je zcela evidentně dán tím, že do segmentu rezidentních zákazníků nejsou z výše uvedených důvodů započítány reálně </w:t>
      </w:r>
      <w:r w:rsidR="00BE3ADB">
        <w:rPr>
          <w:rFonts w:ascii="Arial" w:hAnsi="Arial" w:cs="Arial"/>
          <w:sz w:val="22"/>
          <w:szCs w:val="22"/>
        </w:rPr>
        <w:t xml:space="preserve">na rezidentním segmentu </w:t>
      </w:r>
      <w:r>
        <w:rPr>
          <w:rFonts w:ascii="Arial" w:hAnsi="Arial" w:cs="Arial"/>
          <w:sz w:val="22"/>
          <w:szCs w:val="22"/>
        </w:rPr>
        <w:t>poskytované služby ze strany šedých operátorů a spolků</w:t>
      </w:r>
      <w:r w:rsidR="00015FD4">
        <w:rPr>
          <w:rFonts w:ascii="Arial" w:hAnsi="Arial" w:cs="Arial"/>
          <w:sz w:val="22"/>
          <w:szCs w:val="22"/>
        </w:rPr>
        <w:t>, které si mohou vzhledem ke svému nelegálnímu postavení a chování dovolit poskytovat služby za nižších cenových podmínek</w:t>
      </w:r>
      <w:r w:rsidR="0061396F">
        <w:rPr>
          <w:rFonts w:ascii="Arial" w:hAnsi="Arial" w:cs="Arial"/>
          <w:sz w:val="22"/>
          <w:szCs w:val="22"/>
        </w:rPr>
        <w:t xml:space="preserve"> a tedy nižšího ARPU</w:t>
      </w:r>
      <w:r>
        <w:rPr>
          <w:rFonts w:ascii="Arial" w:hAnsi="Arial" w:cs="Arial"/>
          <w:sz w:val="22"/>
          <w:szCs w:val="22"/>
        </w:rPr>
        <w:t xml:space="preserve">. Na tuto skutečnost společnost O2 opakovaně upozorňovala ČTÚ. </w:t>
      </w:r>
      <w:r w:rsidRPr="0083047F">
        <w:rPr>
          <w:rFonts w:ascii="Arial" w:hAnsi="Arial" w:cs="Arial"/>
          <w:b/>
          <w:sz w:val="22"/>
          <w:szCs w:val="22"/>
        </w:rPr>
        <w:t xml:space="preserve">Na základě interních analýz a </w:t>
      </w:r>
      <w:r w:rsidR="00094D2A" w:rsidRPr="0083047F">
        <w:rPr>
          <w:rFonts w:ascii="Arial" w:hAnsi="Arial" w:cs="Arial"/>
          <w:b/>
          <w:sz w:val="22"/>
          <w:szCs w:val="22"/>
        </w:rPr>
        <w:t xml:space="preserve">rovněž ČTÚ předaných </w:t>
      </w:r>
      <w:r w:rsidRPr="0083047F">
        <w:rPr>
          <w:rFonts w:ascii="Arial" w:hAnsi="Arial" w:cs="Arial"/>
          <w:b/>
          <w:sz w:val="22"/>
          <w:szCs w:val="22"/>
        </w:rPr>
        <w:t xml:space="preserve">statistických dat </w:t>
      </w:r>
      <w:r w:rsidR="00094D2A" w:rsidRPr="0083047F">
        <w:rPr>
          <w:rFonts w:ascii="Arial" w:hAnsi="Arial" w:cs="Arial"/>
          <w:b/>
          <w:sz w:val="22"/>
          <w:szCs w:val="22"/>
        </w:rPr>
        <w:t xml:space="preserve">odhaduje společnost O2, že </w:t>
      </w:r>
      <w:r w:rsidRPr="0083047F">
        <w:rPr>
          <w:rFonts w:ascii="Arial" w:hAnsi="Arial" w:cs="Arial"/>
          <w:b/>
          <w:sz w:val="22"/>
          <w:szCs w:val="22"/>
        </w:rPr>
        <w:t xml:space="preserve">podíl SIM karet </w:t>
      </w:r>
      <w:r w:rsidR="00094D2A" w:rsidRPr="0083047F">
        <w:rPr>
          <w:rFonts w:ascii="Arial" w:hAnsi="Arial" w:cs="Arial"/>
          <w:b/>
          <w:sz w:val="22"/>
          <w:szCs w:val="22"/>
        </w:rPr>
        <w:lastRenderedPageBreak/>
        <w:t xml:space="preserve">poskytovaných </w:t>
      </w:r>
      <w:r w:rsidR="00646AEF">
        <w:rPr>
          <w:rFonts w:ascii="Arial" w:hAnsi="Arial" w:cs="Arial"/>
          <w:b/>
          <w:sz w:val="22"/>
          <w:szCs w:val="22"/>
        </w:rPr>
        <w:t>různými typy</w:t>
      </w:r>
      <w:r w:rsidR="0039353B">
        <w:rPr>
          <w:rFonts w:ascii="Arial" w:hAnsi="Arial" w:cs="Arial"/>
          <w:b/>
          <w:sz w:val="22"/>
          <w:szCs w:val="22"/>
        </w:rPr>
        <w:t xml:space="preserve"> </w:t>
      </w:r>
      <w:r w:rsidR="00094D2A" w:rsidRPr="0083047F">
        <w:rPr>
          <w:rFonts w:ascii="Arial" w:hAnsi="Arial" w:cs="Arial"/>
          <w:b/>
          <w:sz w:val="22"/>
          <w:szCs w:val="22"/>
        </w:rPr>
        <w:t>šedý</w:t>
      </w:r>
      <w:r w:rsidR="0039353B">
        <w:rPr>
          <w:rFonts w:ascii="Arial" w:hAnsi="Arial" w:cs="Arial"/>
          <w:b/>
          <w:sz w:val="22"/>
          <w:szCs w:val="22"/>
        </w:rPr>
        <w:t>ch</w:t>
      </w:r>
      <w:r w:rsidR="00094D2A" w:rsidRPr="0083047F">
        <w:rPr>
          <w:rFonts w:ascii="Arial" w:hAnsi="Arial" w:cs="Arial"/>
          <w:b/>
          <w:sz w:val="22"/>
          <w:szCs w:val="22"/>
        </w:rPr>
        <w:t xml:space="preserve"> operátor</w:t>
      </w:r>
      <w:r w:rsidR="0039353B">
        <w:rPr>
          <w:rFonts w:ascii="Arial" w:hAnsi="Arial" w:cs="Arial"/>
          <w:b/>
          <w:sz w:val="22"/>
          <w:szCs w:val="22"/>
        </w:rPr>
        <w:t>ů</w:t>
      </w:r>
      <w:r w:rsidRPr="0083047F">
        <w:rPr>
          <w:rFonts w:ascii="Arial" w:hAnsi="Arial" w:cs="Arial"/>
          <w:b/>
          <w:sz w:val="22"/>
          <w:szCs w:val="22"/>
        </w:rPr>
        <w:t xml:space="preserve"> </w:t>
      </w:r>
      <w:r w:rsidR="00094D2A" w:rsidRPr="0083047F">
        <w:rPr>
          <w:rFonts w:ascii="Arial" w:hAnsi="Arial" w:cs="Arial"/>
          <w:b/>
          <w:sz w:val="22"/>
          <w:szCs w:val="22"/>
        </w:rPr>
        <w:t xml:space="preserve">dosahuje </w:t>
      </w:r>
      <w:r w:rsidR="00646AEF">
        <w:rPr>
          <w:rFonts w:ascii="Arial" w:hAnsi="Arial" w:cs="Arial"/>
          <w:b/>
          <w:sz w:val="22"/>
          <w:szCs w:val="22"/>
        </w:rPr>
        <w:t xml:space="preserve">možná až </w:t>
      </w:r>
      <w:r w:rsidR="00094D2A" w:rsidRPr="0083047F">
        <w:rPr>
          <w:rFonts w:ascii="Arial" w:hAnsi="Arial" w:cs="Arial"/>
          <w:b/>
          <w:sz w:val="22"/>
          <w:szCs w:val="22"/>
        </w:rPr>
        <w:t>cca</w:t>
      </w:r>
      <w:r w:rsidRPr="0083047F">
        <w:rPr>
          <w:rFonts w:ascii="Arial" w:hAnsi="Arial" w:cs="Arial"/>
          <w:b/>
          <w:sz w:val="22"/>
          <w:szCs w:val="22"/>
        </w:rPr>
        <w:t xml:space="preserve"> 50 % </w:t>
      </w:r>
      <w:r w:rsidR="00094D2A" w:rsidRPr="0083047F">
        <w:rPr>
          <w:rFonts w:ascii="Arial" w:hAnsi="Arial" w:cs="Arial"/>
          <w:b/>
          <w:sz w:val="22"/>
          <w:szCs w:val="22"/>
        </w:rPr>
        <w:t xml:space="preserve">z celého </w:t>
      </w:r>
      <w:r w:rsidRPr="0083047F">
        <w:rPr>
          <w:rFonts w:ascii="Arial" w:hAnsi="Arial" w:cs="Arial"/>
          <w:b/>
          <w:sz w:val="22"/>
          <w:szCs w:val="22"/>
        </w:rPr>
        <w:t>firemního segmentu</w:t>
      </w:r>
      <w:r w:rsidR="00094D2A" w:rsidRPr="0083047F">
        <w:rPr>
          <w:rFonts w:ascii="Arial" w:hAnsi="Arial" w:cs="Arial"/>
          <w:b/>
          <w:sz w:val="22"/>
          <w:szCs w:val="22"/>
        </w:rPr>
        <w:t xml:space="preserve"> ČR</w:t>
      </w:r>
      <w:r w:rsidR="00E37504">
        <w:rPr>
          <w:rFonts w:ascii="Arial" w:hAnsi="Arial" w:cs="Arial"/>
          <w:b/>
          <w:sz w:val="22"/>
          <w:szCs w:val="22"/>
        </w:rPr>
        <w:t xml:space="preserve"> za všechny tři mobilní operátory</w:t>
      </w:r>
      <w:r w:rsidRPr="0083047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1396F" w:rsidRPr="0083047F">
        <w:rPr>
          <w:rFonts w:ascii="Arial" w:hAnsi="Arial" w:cs="Arial"/>
          <w:b/>
          <w:sz w:val="22"/>
          <w:szCs w:val="22"/>
        </w:rPr>
        <w:t>To ukazuje na obrovský rozsah tohoto problému v</w:t>
      </w:r>
      <w:r w:rsidR="0039353B">
        <w:rPr>
          <w:rFonts w:ascii="Arial" w:hAnsi="Arial" w:cs="Arial"/>
          <w:b/>
          <w:sz w:val="22"/>
          <w:szCs w:val="22"/>
        </w:rPr>
        <w:t xml:space="preserve"> celé </w:t>
      </w:r>
      <w:r w:rsidR="0061396F" w:rsidRPr="004006E8">
        <w:rPr>
          <w:rFonts w:ascii="Arial" w:hAnsi="Arial" w:cs="Arial"/>
          <w:b/>
          <w:sz w:val="22"/>
          <w:szCs w:val="22"/>
        </w:rPr>
        <w:t>ČR</w:t>
      </w:r>
      <w:r w:rsidR="0061396F">
        <w:rPr>
          <w:rStyle w:val="Znakapoznpodarou"/>
          <w:rFonts w:ascii="Arial" w:hAnsi="Arial" w:cs="Arial"/>
          <w:b/>
          <w:sz w:val="22"/>
          <w:szCs w:val="22"/>
        </w:rPr>
        <w:footnoteReference w:id="4"/>
      </w:r>
      <w:r w:rsidR="0061396F" w:rsidRPr="004006E8">
        <w:rPr>
          <w:rFonts w:ascii="Arial" w:hAnsi="Arial" w:cs="Arial"/>
          <w:b/>
          <w:sz w:val="22"/>
          <w:szCs w:val="22"/>
        </w:rPr>
        <w:t>,</w:t>
      </w:r>
      <w:r w:rsidR="0061396F">
        <w:rPr>
          <w:rFonts w:ascii="Arial" w:hAnsi="Arial" w:cs="Arial"/>
          <w:b/>
          <w:sz w:val="22"/>
          <w:szCs w:val="22"/>
        </w:rPr>
        <w:t xml:space="preserve"> který však doposud nebyl ze strany ČTÚ systematicky a dlouhodobě řešen.</w:t>
      </w:r>
      <w:r w:rsidR="0061396F" w:rsidRPr="0083047F">
        <w:rPr>
          <w:rFonts w:ascii="Arial" w:hAnsi="Arial" w:cs="Arial"/>
          <w:b/>
          <w:sz w:val="22"/>
          <w:szCs w:val="22"/>
        </w:rPr>
        <w:t xml:space="preserve"> </w:t>
      </w:r>
      <w:r w:rsidR="00C57E11" w:rsidRPr="0083047F">
        <w:rPr>
          <w:rFonts w:ascii="Arial" w:hAnsi="Arial" w:cs="Arial"/>
          <w:b/>
          <w:sz w:val="22"/>
          <w:szCs w:val="22"/>
        </w:rPr>
        <w:t xml:space="preserve">Pokud by </w:t>
      </w:r>
      <w:r w:rsidR="004F7E1B" w:rsidRPr="0083047F">
        <w:rPr>
          <w:rFonts w:ascii="Arial" w:hAnsi="Arial" w:cs="Arial"/>
          <w:b/>
          <w:sz w:val="22"/>
          <w:szCs w:val="22"/>
        </w:rPr>
        <w:t xml:space="preserve">ČTÚ </w:t>
      </w:r>
      <w:r w:rsidR="004F7E1B" w:rsidRPr="0083047F">
        <w:rPr>
          <w:rFonts w:ascii="Arial" w:hAnsi="Arial" w:cs="Arial"/>
          <w:b/>
          <w:sz w:val="22"/>
          <w:szCs w:val="22"/>
          <w:u w:val="single"/>
        </w:rPr>
        <w:t>dlouhodobě</w:t>
      </w:r>
      <w:r w:rsidR="004F7E1B" w:rsidRPr="0083047F">
        <w:rPr>
          <w:rFonts w:ascii="Arial" w:hAnsi="Arial" w:cs="Arial"/>
          <w:b/>
          <w:sz w:val="22"/>
          <w:szCs w:val="22"/>
        </w:rPr>
        <w:t xml:space="preserve"> </w:t>
      </w:r>
      <w:r w:rsidR="00C57E11" w:rsidRPr="0083047F">
        <w:rPr>
          <w:rFonts w:ascii="Arial" w:hAnsi="Arial" w:cs="Arial"/>
          <w:b/>
          <w:sz w:val="22"/>
          <w:szCs w:val="22"/>
        </w:rPr>
        <w:t xml:space="preserve">aktivně vystupoval proti těmto na trhu elektronických komunikacích nelegálně působícím podnikatelům, </w:t>
      </w:r>
      <w:r w:rsidR="004F7E1B" w:rsidRPr="0083047F">
        <w:rPr>
          <w:rFonts w:ascii="Arial" w:hAnsi="Arial" w:cs="Arial"/>
          <w:b/>
          <w:sz w:val="22"/>
          <w:szCs w:val="22"/>
        </w:rPr>
        <w:t xml:space="preserve">pak by </w:t>
      </w:r>
      <w:r w:rsidR="00E37504">
        <w:rPr>
          <w:rFonts w:ascii="Arial" w:hAnsi="Arial" w:cs="Arial"/>
          <w:b/>
          <w:sz w:val="22"/>
          <w:szCs w:val="22"/>
        </w:rPr>
        <w:t>část těchto subjektů byla nucena svoje nelegální působení na mobilním trhu ukončit a část by pravděpodobně přešla do legálního režimu podnikání, avšak jejich zákazníci by byli na rezidentním segment</w:t>
      </w:r>
      <w:r w:rsidR="007D479E">
        <w:rPr>
          <w:rFonts w:ascii="Arial" w:hAnsi="Arial" w:cs="Arial"/>
          <w:b/>
          <w:sz w:val="22"/>
          <w:szCs w:val="22"/>
        </w:rPr>
        <w:t>u a</w:t>
      </w:r>
      <w:r w:rsidR="00E37504">
        <w:rPr>
          <w:rFonts w:ascii="Arial" w:hAnsi="Arial" w:cs="Arial"/>
          <w:b/>
          <w:sz w:val="22"/>
          <w:szCs w:val="22"/>
        </w:rPr>
        <w:t xml:space="preserve"> </w:t>
      </w:r>
      <w:r w:rsidR="007D479E" w:rsidRPr="007D479E">
        <w:rPr>
          <w:rFonts w:ascii="Arial" w:hAnsi="Arial" w:cs="Arial"/>
          <w:b/>
          <w:sz w:val="22"/>
          <w:szCs w:val="22"/>
        </w:rPr>
        <w:t xml:space="preserve">potom </w:t>
      </w:r>
      <w:r w:rsidR="007D479E">
        <w:rPr>
          <w:rFonts w:ascii="Arial" w:hAnsi="Arial" w:cs="Arial"/>
          <w:b/>
          <w:sz w:val="22"/>
          <w:szCs w:val="22"/>
        </w:rPr>
        <w:t xml:space="preserve">by ČTÚ musel </w:t>
      </w:r>
      <w:r w:rsidR="007D479E" w:rsidRPr="007D479E">
        <w:rPr>
          <w:rFonts w:ascii="Arial" w:hAnsi="Arial" w:cs="Arial"/>
          <w:b/>
          <w:sz w:val="22"/>
          <w:szCs w:val="22"/>
        </w:rPr>
        <w:t xml:space="preserve">férově zohlednit jejich nízké </w:t>
      </w:r>
      <w:r w:rsidR="007D479E">
        <w:rPr>
          <w:rFonts w:ascii="Arial" w:hAnsi="Arial" w:cs="Arial"/>
          <w:b/>
          <w:sz w:val="22"/>
          <w:szCs w:val="22"/>
        </w:rPr>
        <w:t>ARPU</w:t>
      </w:r>
      <w:r w:rsidR="007D479E" w:rsidRPr="007D479E">
        <w:rPr>
          <w:rFonts w:ascii="Arial" w:hAnsi="Arial" w:cs="Arial"/>
          <w:b/>
          <w:sz w:val="22"/>
          <w:szCs w:val="22"/>
        </w:rPr>
        <w:t xml:space="preserve"> i do </w:t>
      </w:r>
      <w:r w:rsidR="007D479E">
        <w:rPr>
          <w:rFonts w:ascii="Arial" w:hAnsi="Arial" w:cs="Arial"/>
          <w:b/>
          <w:sz w:val="22"/>
          <w:szCs w:val="22"/>
        </w:rPr>
        <w:t xml:space="preserve">výsledku </w:t>
      </w:r>
      <w:r w:rsidR="007D479E" w:rsidRPr="007D479E">
        <w:rPr>
          <w:rFonts w:ascii="Arial" w:hAnsi="Arial" w:cs="Arial"/>
          <w:b/>
          <w:sz w:val="22"/>
          <w:szCs w:val="22"/>
        </w:rPr>
        <w:t>rezidentního sektoru</w:t>
      </w:r>
      <w:r w:rsidR="007D479E">
        <w:rPr>
          <w:rFonts w:ascii="Arial" w:hAnsi="Arial" w:cs="Arial"/>
          <w:b/>
          <w:sz w:val="22"/>
          <w:szCs w:val="22"/>
        </w:rPr>
        <w:t>.</w:t>
      </w:r>
      <w:r w:rsidR="007D479E" w:rsidRPr="007D479E">
        <w:rPr>
          <w:rFonts w:ascii="Arial" w:hAnsi="Arial" w:cs="Arial"/>
          <w:b/>
          <w:sz w:val="22"/>
          <w:szCs w:val="22"/>
        </w:rPr>
        <w:t xml:space="preserve"> </w:t>
      </w:r>
      <w:r w:rsidR="007D479E">
        <w:rPr>
          <w:rFonts w:ascii="Arial" w:hAnsi="Arial" w:cs="Arial"/>
          <w:b/>
          <w:sz w:val="22"/>
          <w:szCs w:val="22"/>
        </w:rPr>
        <w:t xml:space="preserve">Tím by </w:t>
      </w:r>
      <w:r w:rsidR="004F7E1B" w:rsidRPr="0083047F">
        <w:rPr>
          <w:rFonts w:ascii="Arial" w:hAnsi="Arial" w:cs="Arial"/>
          <w:b/>
          <w:sz w:val="22"/>
          <w:szCs w:val="22"/>
        </w:rPr>
        <w:t xml:space="preserve">se statistickými daty měřené </w:t>
      </w:r>
      <w:r w:rsidR="00C57E11" w:rsidRPr="0083047F">
        <w:rPr>
          <w:rFonts w:ascii="Arial" w:hAnsi="Arial" w:cs="Arial"/>
          <w:b/>
          <w:sz w:val="22"/>
          <w:szCs w:val="22"/>
        </w:rPr>
        <w:t xml:space="preserve">ARPU na </w:t>
      </w:r>
      <w:r w:rsidR="00094D2A">
        <w:rPr>
          <w:rFonts w:ascii="Arial" w:hAnsi="Arial" w:cs="Arial"/>
          <w:b/>
          <w:sz w:val="22"/>
          <w:szCs w:val="22"/>
        </w:rPr>
        <w:t xml:space="preserve">obou </w:t>
      </w:r>
      <w:r w:rsidR="00C57E11" w:rsidRPr="0083047F">
        <w:rPr>
          <w:rFonts w:ascii="Arial" w:hAnsi="Arial" w:cs="Arial"/>
          <w:b/>
          <w:sz w:val="22"/>
          <w:szCs w:val="22"/>
        </w:rPr>
        <w:t xml:space="preserve">segmentech </w:t>
      </w:r>
      <w:r w:rsidR="0070527F" w:rsidRPr="0083047F">
        <w:rPr>
          <w:rFonts w:ascii="Arial" w:hAnsi="Arial" w:cs="Arial"/>
          <w:b/>
          <w:sz w:val="22"/>
          <w:szCs w:val="22"/>
        </w:rPr>
        <w:t xml:space="preserve">díky </w:t>
      </w:r>
      <w:r w:rsidR="004F7E1B" w:rsidRPr="0083047F">
        <w:rPr>
          <w:rFonts w:ascii="Arial" w:hAnsi="Arial" w:cs="Arial"/>
          <w:b/>
          <w:sz w:val="22"/>
          <w:szCs w:val="22"/>
        </w:rPr>
        <w:t xml:space="preserve">této aktivitě ČTÚ muselo přiblížit </w:t>
      </w:r>
      <w:r w:rsidR="0070527F" w:rsidRPr="0083047F">
        <w:rPr>
          <w:rFonts w:ascii="Arial" w:hAnsi="Arial" w:cs="Arial"/>
          <w:b/>
          <w:sz w:val="22"/>
          <w:szCs w:val="22"/>
        </w:rPr>
        <w:t>reálnějším</w:t>
      </w:r>
      <w:r w:rsidR="004F7E1B" w:rsidRPr="0083047F">
        <w:rPr>
          <w:rFonts w:ascii="Arial" w:hAnsi="Arial" w:cs="Arial"/>
          <w:b/>
          <w:sz w:val="22"/>
          <w:szCs w:val="22"/>
        </w:rPr>
        <w:t>u</w:t>
      </w:r>
      <w:r w:rsidR="0070527F" w:rsidRPr="0083047F">
        <w:rPr>
          <w:rFonts w:ascii="Arial" w:hAnsi="Arial" w:cs="Arial"/>
          <w:b/>
          <w:sz w:val="22"/>
          <w:szCs w:val="22"/>
        </w:rPr>
        <w:t xml:space="preserve"> obrazu skutečné situace na trhu</w:t>
      </w:r>
      <w:r w:rsidR="00094D2A">
        <w:rPr>
          <w:rFonts w:ascii="Arial" w:hAnsi="Arial" w:cs="Arial"/>
          <w:b/>
          <w:sz w:val="22"/>
          <w:szCs w:val="22"/>
        </w:rPr>
        <w:t>.</w:t>
      </w:r>
      <w:r w:rsidR="0070527F" w:rsidRPr="0083047F">
        <w:rPr>
          <w:rFonts w:ascii="Arial" w:hAnsi="Arial" w:cs="Arial"/>
          <w:b/>
          <w:sz w:val="22"/>
          <w:szCs w:val="22"/>
        </w:rPr>
        <w:t xml:space="preserve"> </w:t>
      </w:r>
      <w:r w:rsidR="00094D2A" w:rsidRPr="004E7D56">
        <w:rPr>
          <w:rFonts w:ascii="Arial" w:hAnsi="Arial" w:cs="Arial"/>
          <w:b/>
          <w:sz w:val="22"/>
          <w:szCs w:val="22"/>
        </w:rPr>
        <w:t>Uk</w:t>
      </w:r>
      <w:r w:rsidR="00094D2A">
        <w:rPr>
          <w:rFonts w:ascii="Arial" w:hAnsi="Arial" w:cs="Arial"/>
          <w:b/>
          <w:sz w:val="22"/>
          <w:szCs w:val="22"/>
        </w:rPr>
        <w:t>á</w:t>
      </w:r>
      <w:r w:rsidR="00094D2A" w:rsidRPr="004E7D56">
        <w:rPr>
          <w:rFonts w:ascii="Arial" w:hAnsi="Arial" w:cs="Arial"/>
          <w:b/>
          <w:sz w:val="22"/>
          <w:szCs w:val="22"/>
        </w:rPr>
        <w:t>zalo by se</w:t>
      </w:r>
      <w:r w:rsidR="00094D2A">
        <w:rPr>
          <w:rFonts w:ascii="Arial" w:hAnsi="Arial" w:cs="Arial"/>
          <w:b/>
          <w:sz w:val="22"/>
          <w:szCs w:val="22"/>
        </w:rPr>
        <w:t>, že</w:t>
      </w:r>
      <w:r w:rsidR="00094D2A" w:rsidRPr="004E7D56">
        <w:rPr>
          <w:rFonts w:ascii="Arial" w:hAnsi="Arial" w:cs="Arial"/>
          <w:b/>
          <w:sz w:val="22"/>
          <w:szCs w:val="22"/>
        </w:rPr>
        <w:t xml:space="preserve"> </w:t>
      </w:r>
      <w:r w:rsidR="004F7E1B" w:rsidRPr="0083047F">
        <w:rPr>
          <w:rFonts w:ascii="Arial" w:hAnsi="Arial" w:cs="Arial"/>
          <w:b/>
          <w:sz w:val="22"/>
          <w:szCs w:val="22"/>
        </w:rPr>
        <w:t xml:space="preserve">ARPU za oba segmenty je </w:t>
      </w:r>
      <w:r w:rsidRPr="0083047F">
        <w:rPr>
          <w:rFonts w:ascii="Arial" w:hAnsi="Arial" w:cs="Arial"/>
          <w:b/>
          <w:sz w:val="22"/>
          <w:szCs w:val="22"/>
        </w:rPr>
        <w:t>v realitě mnohem vyrovnanější</w:t>
      </w:r>
      <w:r w:rsidR="007D479E">
        <w:rPr>
          <w:rFonts w:ascii="Arial" w:hAnsi="Arial" w:cs="Arial"/>
          <w:b/>
          <w:sz w:val="22"/>
          <w:szCs w:val="22"/>
        </w:rPr>
        <w:t xml:space="preserve"> (</w:t>
      </w:r>
      <w:r w:rsidR="007D479E" w:rsidRPr="007D479E">
        <w:rPr>
          <w:rFonts w:ascii="Arial" w:hAnsi="Arial" w:cs="Arial"/>
          <w:b/>
          <w:sz w:val="22"/>
          <w:szCs w:val="22"/>
        </w:rPr>
        <w:t>zvýšilo</w:t>
      </w:r>
      <w:r w:rsidR="007D479E">
        <w:rPr>
          <w:rFonts w:ascii="Arial" w:hAnsi="Arial" w:cs="Arial"/>
          <w:b/>
          <w:sz w:val="22"/>
          <w:szCs w:val="22"/>
        </w:rPr>
        <w:t xml:space="preserve"> by se</w:t>
      </w:r>
      <w:r w:rsidR="007D479E" w:rsidRPr="007D479E">
        <w:rPr>
          <w:rFonts w:ascii="Arial" w:hAnsi="Arial" w:cs="Arial"/>
          <w:b/>
          <w:sz w:val="22"/>
          <w:szCs w:val="22"/>
        </w:rPr>
        <w:t xml:space="preserve"> ARPU firemního segmentu a snížilo </w:t>
      </w:r>
      <w:r w:rsidR="007D479E">
        <w:rPr>
          <w:rFonts w:ascii="Arial" w:hAnsi="Arial" w:cs="Arial"/>
          <w:b/>
          <w:sz w:val="22"/>
          <w:szCs w:val="22"/>
        </w:rPr>
        <w:t xml:space="preserve">by se </w:t>
      </w:r>
      <w:r w:rsidR="007D479E" w:rsidRPr="007D479E">
        <w:rPr>
          <w:rFonts w:ascii="Arial" w:hAnsi="Arial" w:cs="Arial"/>
          <w:b/>
          <w:sz w:val="22"/>
          <w:szCs w:val="22"/>
        </w:rPr>
        <w:t>ARPU rezidentního segmentu</w:t>
      </w:r>
      <w:r w:rsidR="007D479E">
        <w:rPr>
          <w:rFonts w:ascii="Arial" w:hAnsi="Arial" w:cs="Arial"/>
          <w:b/>
          <w:sz w:val="22"/>
          <w:szCs w:val="22"/>
        </w:rPr>
        <w:t>)</w:t>
      </w:r>
      <w:r w:rsidRPr="0083047F">
        <w:rPr>
          <w:rFonts w:ascii="Arial" w:hAnsi="Arial" w:cs="Arial"/>
          <w:b/>
          <w:sz w:val="22"/>
          <w:szCs w:val="22"/>
        </w:rPr>
        <w:t>.</w:t>
      </w:r>
      <w:r w:rsidR="007D479E">
        <w:rPr>
          <w:rFonts w:ascii="Arial" w:hAnsi="Arial" w:cs="Arial"/>
          <w:b/>
          <w:sz w:val="22"/>
          <w:szCs w:val="22"/>
        </w:rPr>
        <w:t xml:space="preserve"> Došlo by </w:t>
      </w:r>
      <w:r w:rsidR="007D479E" w:rsidRPr="007D479E">
        <w:rPr>
          <w:rFonts w:ascii="Arial" w:hAnsi="Arial" w:cs="Arial"/>
          <w:b/>
          <w:sz w:val="22"/>
          <w:szCs w:val="22"/>
        </w:rPr>
        <w:t xml:space="preserve">k narovnání rezidentního </w:t>
      </w:r>
      <w:r w:rsidR="007D479E">
        <w:rPr>
          <w:rFonts w:ascii="Arial" w:hAnsi="Arial" w:cs="Arial"/>
          <w:b/>
          <w:sz w:val="22"/>
          <w:szCs w:val="22"/>
        </w:rPr>
        <w:t>segmentu</w:t>
      </w:r>
      <w:r w:rsidR="007D479E" w:rsidRPr="007D479E">
        <w:rPr>
          <w:rFonts w:ascii="Arial" w:hAnsi="Arial" w:cs="Arial"/>
          <w:b/>
          <w:sz w:val="22"/>
          <w:szCs w:val="22"/>
        </w:rPr>
        <w:t xml:space="preserve"> a obnovení konk</w:t>
      </w:r>
      <w:r w:rsidR="007D479E">
        <w:rPr>
          <w:rFonts w:ascii="Arial" w:hAnsi="Arial" w:cs="Arial"/>
          <w:b/>
          <w:sz w:val="22"/>
          <w:szCs w:val="22"/>
        </w:rPr>
        <w:t>urenceschopnosti legálních MVNO</w:t>
      </w:r>
      <w:r w:rsidR="007D479E" w:rsidRPr="007D479E">
        <w:rPr>
          <w:rFonts w:ascii="Arial" w:hAnsi="Arial" w:cs="Arial"/>
          <w:b/>
          <w:sz w:val="22"/>
          <w:szCs w:val="22"/>
        </w:rPr>
        <w:t>, což je dle našeho názoru postup souladný se zákonem a úkoly kladenými na regulátora</w:t>
      </w:r>
      <w:r w:rsidR="007D479E">
        <w:rPr>
          <w:rFonts w:ascii="Arial" w:hAnsi="Arial" w:cs="Arial"/>
          <w:b/>
          <w:sz w:val="22"/>
          <w:szCs w:val="22"/>
        </w:rPr>
        <w:t>.</w:t>
      </w:r>
      <w:r w:rsidR="007D479E" w:rsidRPr="007D479E">
        <w:rPr>
          <w:rFonts w:ascii="Arial" w:hAnsi="Arial" w:cs="Arial"/>
          <w:b/>
          <w:sz w:val="22"/>
          <w:szCs w:val="22"/>
        </w:rPr>
        <w:t xml:space="preserve"> </w:t>
      </w:r>
      <w:r w:rsidR="00C57E11" w:rsidRPr="0083047F">
        <w:rPr>
          <w:rFonts w:ascii="Arial" w:hAnsi="Arial" w:cs="Arial"/>
          <w:b/>
          <w:sz w:val="22"/>
          <w:szCs w:val="22"/>
        </w:rPr>
        <w:t xml:space="preserve">Určitý rozdíl </w:t>
      </w:r>
      <w:r w:rsidR="0070527F" w:rsidRPr="0083047F">
        <w:rPr>
          <w:rFonts w:ascii="Arial" w:hAnsi="Arial" w:cs="Arial"/>
          <w:b/>
          <w:sz w:val="22"/>
          <w:szCs w:val="22"/>
        </w:rPr>
        <w:t xml:space="preserve">v ARPU </w:t>
      </w:r>
      <w:r w:rsidR="00C57E11" w:rsidRPr="0083047F">
        <w:rPr>
          <w:rFonts w:ascii="Arial" w:hAnsi="Arial" w:cs="Arial"/>
          <w:b/>
          <w:sz w:val="22"/>
          <w:szCs w:val="22"/>
        </w:rPr>
        <w:t xml:space="preserve">mezi </w:t>
      </w:r>
      <w:r w:rsidR="0070527F" w:rsidRPr="0083047F">
        <w:rPr>
          <w:rFonts w:ascii="Arial" w:hAnsi="Arial" w:cs="Arial"/>
          <w:b/>
          <w:sz w:val="22"/>
          <w:szCs w:val="22"/>
        </w:rPr>
        <w:t xml:space="preserve">oběma </w:t>
      </w:r>
      <w:r w:rsidR="00C57E11" w:rsidRPr="0083047F">
        <w:rPr>
          <w:rFonts w:ascii="Arial" w:hAnsi="Arial" w:cs="Arial"/>
          <w:b/>
          <w:sz w:val="22"/>
          <w:szCs w:val="22"/>
        </w:rPr>
        <w:t xml:space="preserve">segmenty je pak </w:t>
      </w:r>
      <w:r w:rsidR="007D479E" w:rsidRPr="0083047F">
        <w:rPr>
          <w:rFonts w:ascii="Arial" w:hAnsi="Arial" w:cs="Arial"/>
          <w:b/>
          <w:sz w:val="22"/>
          <w:szCs w:val="22"/>
        </w:rPr>
        <w:t xml:space="preserve">zcela přirozený </w:t>
      </w:r>
      <w:r w:rsidR="0070527F" w:rsidRPr="0083047F">
        <w:rPr>
          <w:rFonts w:ascii="Arial" w:hAnsi="Arial" w:cs="Arial"/>
          <w:b/>
          <w:sz w:val="22"/>
          <w:szCs w:val="22"/>
        </w:rPr>
        <w:t xml:space="preserve">především z důvodu úspor z rozsahu </w:t>
      </w:r>
      <w:r w:rsidR="00094D2A" w:rsidRPr="0083047F">
        <w:rPr>
          <w:rFonts w:ascii="Arial" w:hAnsi="Arial" w:cs="Arial"/>
          <w:b/>
          <w:sz w:val="22"/>
          <w:szCs w:val="22"/>
        </w:rPr>
        <w:t>a vyskytuje se běžně i v zahraničí</w:t>
      </w:r>
      <w:r w:rsidR="00C57E11" w:rsidRPr="0083047F">
        <w:rPr>
          <w:rFonts w:ascii="Arial" w:hAnsi="Arial" w:cs="Arial"/>
          <w:b/>
          <w:sz w:val="22"/>
          <w:szCs w:val="22"/>
        </w:rPr>
        <w:t>.</w:t>
      </w:r>
      <w:r w:rsidRPr="0083047F">
        <w:rPr>
          <w:rFonts w:ascii="Arial" w:hAnsi="Arial" w:cs="Arial"/>
          <w:b/>
          <w:sz w:val="22"/>
          <w:szCs w:val="22"/>
        </w:rPr>
        <w:t xml:space="preserve"> Společnost O2 je proto přesvědčena, že </w:t>
      </w:r>
      <w:r w:rsidR="00691C59">
        <w:rPr>
          <w:rFonts w:ascii="Arial" w:hAnsi="Arial" w:cs="Arial"/>
          <w:b/>
          <w:sz w:val="22"/>
          <w:szCs w:val="22"/>
        </w:rPr>
        <w:t>vyřešením</w:t>
      </w:r>
      <w:r w:rsidR="007D479E">
        <w:rPr>
          <w:rFonts w:ascii="Arial" w:hAnsi="Arial" w:cs="Arial"/>
          <w:b/>
          <w:sz w:val="22"/>
          <w:szCs w:val="22"/>
        </w:rPr>
        <w:t xml:space="preserve"> výše uvedené deformace vzniklé působením šedých operátorů</w:t>
      </w:r>
      <w:r w:rsidRPr="0083047F">
        <w:rPr>
          <w:rFonts w:ascii="Arial" w:hAnsi="Arial" w:cs="Arial"/>
          <w:b/>
          <w:sz w:val="22"/>
          <w:szCs w:val="22"/>
        </w:rPr>
        <w:t xml:space="preserve"> </w:t>
      </w:r>
      <w:r w:rsidR="00691C59">
        <w:rPr>
          <w:rFonts w:ascii="Arial" w:hAnsi="Arial" w:cs="Arial"/>
          <w:b/>
          <w:sz w:val="22"/>
          <w:szCs w:val="22"/>
        </w:rPr>
        <w:t xml:space="preserve">bude trh </w:t>
      </w:r>
      <w:r w:rsidRPr="0083047F">
        <w:rPr>
          <w:rFonts w:ascii="Arial" w:hAnsi="Arial" w:cs="Arial"/>
          <w:b/>
          <w:sz w:val="22"/>
          <w:szCs w:val="22"/>
        </w:rPr>
        <w:t>fung</w:t>
      </w:r>
      <w:r w:rsidR="00691C59">
        <w:rPr>
          <w:rFonts w:ascii="Arial" w:hAnsi="Arial" w:cs="Arial"/>
          <w:b/>
          <w:sz w:val="22"/>
          <w:szCs w:val="22"/>
        </w:rPr>
        <w:t xml:space="preserve">ovat </w:t>
      </w:r>
      <w:r w:rsidRPr="0083047F">
        <w:rPr>
          <w:rFonts w:ascii="Arial" w:hAnsi="Arial" w:cs="Arial"/>
          <w:b/>
          <w:sz w:val="22"/>
          <w:szCs w:val="22"/>
        </w:rPr>
        <w:t>z  pohledu výše ARPU perfektně v obou případech.</w:t>
      </w:r>
    </w:p>
    <w:p w14:paraId="4D508271" w14:textId="77777777" w:rsidR="00691C59" w:rsidRDefault="00691C59" w:rsidP="00DD289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017A5BD" w14:textId="40806826" w:rsidR="00691C59" w:rsidRPr="00646AEF" w:rsidRDefault="00691C59" w:rsidP="00DD289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46AEF">
        <w:rPr>
          <w:rFonts w:ascii="Arial" w:hAnsi="Arial" w:cs="Arial"/>
          <w:b/>
          <w:sz w:val="22"/>
          <w:szCs w:val="22"/>
        </w:rPr>
        <w:t>Dále mu</w:t>
      </w:r>
      <w:r w:rsidR="001246F8">
        <w:rPr>
          <w:rFonts w:ascii="Arial" w:hAnsi="Arial" w:cs="Arial"/>
          <w:b/>
          <w:sz w:val="22"/>
          <w:szCs w:val="22"/>
        </w:rPr>
        <w:t>sí společnost O2 upozornit na důležitou skutečnost</w:t>
      </w:r>
      <w:r w:rsidRPr="00646AEF">
        <w:rPr>
          <w:rFonts w:ascii="Arial" w:hAnsi="Arial" w:cs="Arial"/>
          <w:b/>
          <w:sz w:val="22"/>
          <w:szCs w:val="22"/>
        </w:rPr>
        <w:t xml:space="preserve">, </w:t>
      </w:r>
      <w:r w:rsidR="00776515" w:rsidRPr="00646AEF">
        <w:rPr>
          <w:rFonts w:ascii="Arial" w:hAnsi="Arial" w:cs="Arial"/>
          <w:b/>
          <w:sz w:val="22"/>
          <w:szCs w:val="22"/>
        </w:rPr>
        <w:t>že</w:t>
      </w:r>
      <w:r w:rsidRPr="00646AEF">
        <w:rPr>
          <w:rFonts w:ascii="Arial" w:hAnsi="Arial" w:cs="Arial"/>
          <w:b/>
          <w:sz w:val="22"/>
          <w:szCs w:val="22"/>
        </w:rPr>
        <w:t xml:space="preserve"> </w:t>
      </w:r>
      <w:r w:rsidR="00776515" w:rsidRPr="00646AEF">
        <w:rPr>
          <w:rFonts w:ascii="Arial" w:hAnsi="Arial" w:cs="Arial"/>
          <w:b/>
          <w:sz w:val="22"/>
          <w:szCs w:val="22"/>
        </w:rPr>
        <w:t>p</w:t>
      </w:r>
      <w:r w:rsidRPr="00646AEF">
        <w:rPr>
          <w:rFonts w:ascii="Arial" w:hAnsi="Arial" w:cs="Arial"/>
          <w:b/>
          <w:sz w:val="22"/>
          <w:szCs w:val="22"/>
        </w:rPr>
        <w:t xml:space="preserve">okud by ČTÚ směřoval k často deklarovanému cíli, a to zabránit na rezidentním trhu údajnému stlačování marží a umožnění MVNO ziskově podnikat, </w:t>
      </w:r>
      <w:r w:rsidR="00F86F8F" w:rsidRPr="00646AEF">
        <w:rPr>
          <w:rFonts w:ascii="Arial" w:hAnsi="Arial" w:cs="Arial"/>
          <w:b/>
          <w:sz w:val="22"/>
          <w:szCs w:val="22"/>
        </w:rPr>
        <w:t xml:space="preserve">který však </w:t>
      </w:r>
      <w:r w:rsidRPr="00646AEF">
        <w:rPr>
          <w:rFonts w:ascii="Arial" w:hAnsi="Arial" w:cs="Arial"/>
          <w:b/>
          <w:sz w:val="22"/>
          <w:szCs w:val="22"/>
        </w:rPr>
        <w:t xml:space="preserve">společnost O2 považuje za cíl v rozporu s realitou, pak by to </w:t>
      </w:r>
      <w:r w:rsidR="00F86F8F" w:rsidRPr="00646AEF">
        <w:rPr>
          <w:rFonts w:ascii="Arial" w:hAnsi="Arial" w:cs="Arial"/>
          <w:b/>
          <w:sz w:val="22"/>
          <w:szCs w:val="22"/>
        </w:rPr>
        <w:t xml:space="preserve">paradoxně </w:t>
      </w:r>
      <w:r w:rsidRPr="00646AEF">
        <w:rPr>
          <w:rFonts w:ascii="Arial" w:hAnsi="Arial" w:cs="Arial"/>
          <w:b/>
          <w:sz w:val="22"/>
          <w:szCs w:val="22"/>
        </w:rPr>
        <w:t xml:space="preserve">vedlo </w:t>
      </w:r>
      <w:r w:rsidR="00646AEF">
        <w:rPr>
          <w:rFonts w:ascii="Arial" w:hAnsi="Arial" w:cs="Arial"/>
          <w:b/>
          <w:sz w:val="22"/>
          <w:szCs w:val="22"/>
        </w:rPr>
        <w:t xml:space="preserve">v konečném důsledku </w:t>
      </w:r>
      <w:r w:rsidRPr="00646AEF">
        <w:rPr>
          <w:rFonts w:ascii="Arial" w:hAnsi="Arial" w:cs="Arial"/>
          <w:b/>
          <w:sz w:val="22"/>
          <w:szCs w:val="22"/>
        </w:rPr>
        <w:t xml:space="preserve">k růstu </w:t>
      </w:r>
      <w:r w:rsidR="00646AEF" w:rsidRPr="00646AEF">
        <w:rPr>
          <w:rFonts w:ascii="Arial" w:hAnsi="Arial" w:cs="Arial"/>
          <w:b/>
          <w:sz w:val="22"/>
          <w:szCs w:val="22"/>
        </w:rPr>
        <w:t xml:space="preserve">maloobchodních </w:t>
      </w:r>
      <w:r w:rsidRPr="00646AEF">
        <w:rPr>
          <w:rFonts w:ascii="Arial" w:hAnsi="Arial" w:cs="Arial"/>
          <w:b/>
          <w:sz w:val="22"/>
          <w:szCs w:val="22"/>
        </w:rPr>
        <w:t>cen</w:t>
      </w:r>
      <w:r w:rsidR="00646AEF" w:rsidRPr="00646AEF">
        <w:rPr>
          <w:rFonts w:ascii="Arial" w:hAnsi="Arial" w:cs="Arial"/>
          <w:b/>
          <w:sz w:val="22"/>
          <w:szCs w:val="22"/>
        </w:rPr>
        <w:t>,</w:t>
      </w:r>
      <w:r w:rsidR="00D27890" w:rsidRPr="00646AEF">
        <w:rPr>
          <w:rFonts w:ascii="Arial" w:hAnsi="Arial" w:cs="Arial"/>
          <w:b/>
          <w:sz w:val="22"/>
          <w:szCs w:val="22"/>
        </w:rPr>
        <w:t xml:space="preserve"> a</w:t>
      </w:r>
      <w:r w:rsidR="00F86F8F" w:rsidRPr="00646AEF">
        <w:rPr>
          <w:rFonts w:ascii="Arial" w:hAnsi="Arial" w:cs="Arial"/>
          <w:b/>
          <w:sz w:val="22"/>
          <w:szCs w:val="22"/>
        </w:rPr>
        <w:t xml:space="preserve"> to </w:t>
      </w:r>
      <w:r w:rsidRPr="00646AEF">
        <w:rPr>
          <w:rFonts w:ascii="Arial" w:hAnsi="Arial" w:cs="Arial"/>
          <w:b/>
          <w:sz w:val="22"/>
          <w:szCs w:val="22"/>
        </w:rPr>
        <w:t>by pro ČTÚ zajisté nebylo politicky žádoucí. MNO</w:t>
      </w:r>
      <w:r w:rsidR="0081340D" w:rsidRPr="00646AEF">
        <w:rPr>
          <w:rFonts w:ascii="Arial" w:hAnsi="Arial" w:cs="Arial"/>
          <w:b/>
          <w:sz w:val="22"/>
          <w:szCs w:val="22"/>
        </w:rPr>
        <w:t xml:space="preserve"> </w:t>
      </w:r>
      <w:r w:rsidR="001246F8">
        <w:rPr>
          <w:rFonts w:ascii="Arial" w:hAnsi="Arial" w:cs="Arial"/>
          <w:b/>
          <w:sz w:val="22"/>
          <w:szCs w:val="22"/>
        </w:rPr>
        <w:t xml:space="preserve">totiž </w:t>
      </w:r>
      <w:r w:rsidR="0081340D" w:rsidRPr="00646AEF">
        <w:rPr>
          <w:rFonts w:ascii="Arial" w:hAnsi="Arial" w:cs="Arial"/>
          <w:b/>
          <w:sz w:val="22"/>
          <w:szCs w:val="22"/>
        </w:rPr>
        <w:t>musí</w:t>
      </w:r>
      <w:r w:rsidRPr="00646AEF">
        <w:rPr>
          <w:rFonts w:ascii="Arial" w:hAnsi="Arial" w:cs="Arial"/>
          <w:b/>
          <w:sz w:val="22"/>
          <w:szCs w:val="22"/>
        </w:rPr>
        <w:t xml:space="preserve"> unést všechny náklady a investice do mobilní sítě a zároveň musí i oni realizovat zisk, což </w:t>
      </w:r>
      <w:r w:rsidR="0081340D" w:rsidRPr="00646AEF">
        <w:rPr>
          <w:rFonts w:ascii="Arial" w:hAnsi="Arial" w:cs="Arial"/>
          <w:b/>
          <w:sz w:val="22"/>
          <w:szCs w:val="22"/>
        </w:rPr>
        <w:t xml:space="preserve">i podle tvrzení ČTÚ </w:t>
      </w:r>
      <w:r w:rsidRPr="00646AEF">
        <w:rPr>
          <w:rFonts w:ascii="Arial" w:hAnsi="Arial" w:cs="Arial"/>
          <w:b/>
          <w:sz w:val="22"/>
          <w:szCs w:val="22"/>
        </w:rPr>
        <w:t xml:space="preserve">řada nabídek na </w:t>
      </w:r>
      <w:r w:rsidR="00C02A03" w:rsidRPr="00646AEF">
        <w:rPr>
          <w:rFonts w:ascii="Arial" w:hAnsi="Arial" w:cs="Arial"/>
          <w:b/>
          <w:sz w:val="22"/>
          <w:szCs w:val="22"/>
        </w:rPr>
        <w:t>firemním</w:t>
      </w:r>
      <w:r w:rsidRPr="00646AEF">
        <w:rPr>
          <w:rFonts w:ascii="Arial" w:hAnsi="Arial" w:cs="Arial"/>
          <w:b/>
          <w:sz w:val="22"/>
          <w:szCs w:val="22"/>
        </w:rPr>
        <w:t xml:space="preserve"> segmentu již </w:t>
      </w:r>
      <w:r w:rsidR="001246F8">
        <w:rPr>
          <w:rFonts w:ascii="Arial" w:hAnsi="Arial" w:cs="Arial"/>
          <w:b/>
          <w:sz w:val="22"/>
          <w:szCs w:val="22"/>
        </w:rPr>
        <w:t xml:space="preserve">dnes </w:t>
      </w:r>
      <w:r w:rsidR="0081340D" w:rsidRPr="00646AEF">
        <w:rPr>
          <w:rFonts w:ascii="Arial" w:hAnsi="Arial" w:cs="Arial"/>
          <w:b/>
          <w:sz w:val="22"/>
          <w:szCs w:val="22"/>
        </w:rPr>
        <w:t>umožňuje pouze stěží</w:t>
      </w:r>
      <w:r w:rsidR="00C02A03" w:rsidRPr="00646AEF">
        <w:rPr>
          <w:rFonts w:ascii="Arial" w:hAnsi="Arial" w:cs="Arial"/>
          <w:b/>
          <w:sz w:val="22"/>
          <w:szCs w:val="22"/>
        </w:rPr>
        <w:t xml:space="preserve"> a nejinak tomu je často také v rezidentním segmentu</w:t>
      </w:r>
      <w:r w:rsidRPr="00646AEF">
        <w:rPr>
          <w:rFonts w:ascii="Arial" w:hAnsi="Arial" w:cs="Arial"/>
          <w:b/>
          <w:sz w:val="22"/>
          <w:szCs w:val="22"/>
        </w:rPr>
        <w:t xml:space="preserve">. Pokud </w:t>
      </w:r>
      <w:r w:rsidR="0081340D" w:rsidRPr="00646AEF">
        <w:rPr>
          <w:rFonts w:ascii="Arial" w:hAnsi="Arial" w:cs="Arial"/>
          <w:b/>
          <w:sz w:val="22"/>
          <w:szCs w:val="22"/>
        </w:rPr>
        <w:t>však</w:t>
      </w:r>
      <w:r w:rsidRPr="00646AEF">
        <w:rPr>
          <w:rFonts w:ascii="Arial" w:hAnsi="Arial" w:cs="Arial"/>
          <w:b/>
          <w:sz w:val="22"/>
          <w:szCs w:val="22"/>
        </w:rPr>
        <w:t xml:space="preserve"> v souladu s</w:t>
      </w:r>
      <w:r w:rsidR="0081340D" w:rsidRPr="00646AEF">
        <w:rPr>
          <w:rFonts w:ascii="Arial" w:hAnsi="Arial" w:cs="Arial"/>
          <w:b/>
          <w:sz w:val="22"/>
          <w:szCs w:val="22"/>
        </w:rPr>
        <w:t xml:space="preserve"> možnou </w:t>
      </w:r>
      <w:r w:rsidRPr="00646AEF">
        <w:rPr>
          <w:rFonts w:ascii="Arial" w:hAnsi="Arial" w:cs="Arial"/>
          <w:b/>
          <w:sz w:val="22"/>
          <w:szCs w:val="22"/>
        </w:rPr>
        <w:t xml:space="preserve">politickou objednávkou </w:t>
      </w:r>
      <w:r w:rsidR="001246F8">
        <w:rPr>
          <w:rFonts w:ascii="Arial" w:hAnsi="Arial" w:cs="Arial"/>
          <w:b/>
          <w:sz w:val="22"/>
          <w:szCs w:val="22"/>
        </w:rPr>
        <w:t xml:space="preserve">má </w:t>
      </w:r>
      <w:r w:rsidR="0081340D" w:rsidRPr="00646AEF">
        <w:rPr>
          <w:rFonts w:ascii="Arial" w:hAnsi="Arial" w:cs="Arial"/>
          <w:b/>
          <w:sz w:val="22"/>
          <w:szCs w:val="22"/>
        </w:rPr>
        <w:t xml:space="preserve">ČTÚ </w:t>
      </w:r>
      <w:r w:rsidR="001246F8">
        <w:rPr>
          <w:rFonts w:ascii="Arial" w:hAnsi="Arial" w:cs="Arial"/>
          <w:b/>
          <w:sz w:val="22"/>
          <w:szCs w:val="22"/>
        </w:rPr>
        <w:t xml:space="preserve">v úmyslu </w:t>
      </w:r>
      <w:r w:rsidR="0081340D" w:rsidRPr="00646AEF">
        <w:rPr>
          <w:rFonts w:ascii="Arial" w:hAnsi="Arial" w:cs="Arial"/>
          <w:b/>
          <w:sz w:val="22"/>
          <w:szCs w:val="22"/>
        </w:rPr>
        <w:t>dotlačit MNO</w:t>
      </w:r>
      <w:r w:rsidRPr="00646AEF">
        <w:rPr>
          <w:rFonts w:ascii="Arial" w:hAnsi="Arial" w:cs="Arial"/>
          <w:b/>
          <w:sz w:val="22"/>
          <w:szCs w:val="22"/>
        </w:rPr>
        <w:t xml:space="preserve"> k</w:t>
      </w:r>
      <w:r w:rsidR="0081340D" w:rsidRPr="00646AEF">
        <w:rPr>
          <w:rFonts w:ascii="Arial" w:hAnsi="Arial" w:cs="Arial"/>
          <w:b/>
          <w:sz w:val="22"/>
          <w:szCs w:val="22"/>
        </w:rPr>
        <w:t>e</w:t>
      </w:r>
      <w:r w:rsidRPr="00646AEF">
        <w:rPr>
          <w:rFonts w:ascii="Arial" w:hAnsi="Arial" w:cs="Arial"/>
          <w:b/>
          <w:sz w:val="22"/>
          <w:szCs w:val="22"/>
        </w:rPr>
        <w:t xml:space="preserve"> snížení maloobchodních cen, </w:t>
      </w:r>
      <w:r w:rsidR="0081340D" w:rsidRPr="00646AEF">
        <w:rPr>
          <w:rFonts w:ascii="Arial" w:hAnsi="Arial" w:cs="Arial"/>
          <w:b/>
          <w:sz w:val="22"/>
          <w:szCs w:val="22"/>
        </w:rPr>
        <w:t xml:space="preserve">pak to </w:t>
      </w:r>
      <w:r w:rsidRPr="00646AEF">
        <w:rPr>
          <w:rFonts w:ascii="Arial" w:hAnsi="Arial" w:cs="Arial"/>
          <w:b/>
          <w:sz w:val="22"/>
          <w:szCs w:val="22"/>
        </w:rPr>
        <w:t xml:space="preserve">znamená, že </w:t>
      </w:r>
      <w:r w:rsidR="00C02A03" w:rsidRPr="00646AEF">
        <w:rPr>
          <w:rFonts w:ascii="Arial" w:hAnsi="Arial" w:cs="Arial"/>
          <w:b/>
          <w:sz w:val="22"/>
          <w:szCs w:val="22"/>
        </w:rPr>
        <w:t xml:space="preserve">naopak </w:t>
      </w:r>
      <w:r w:rsidRPr="00646AEF">
        <w:rPr>
          <w:rFonts w:ascii="Arial" w:hAnsi="Arial" w:cs="Arial"/>
          <w:b/>
          <w:sz w:val="22"/>
          <w:szCs w:val="22"/>
        </w:rPr>
        <w:t>ještě sníž</w:t>
      </w:r>
      <w:r w:rsidR="0081340D" w:rsidRPr="00646AEF">
        <w:rPr>
          <w:rFonts w:ascii="Arial" w:hAnsi="Arial" w:cs="Arial"/>
          <w:b/>
          <w:sz w:val="22"/>
          <w:szCs w:val="22"/>
        </w:rPr>
        <w:t>í prostor pro marži MVNO</w:t>
      </w:r>
      <w:r w:rsidR="00F86F8F" w:rsidRPr="00646AEF">
        <w:rPr>
          <w:rFonts w:ascii="Arial" w:hAnsi="Arial" w:cs="Arial"/>
          <w:b/>
          <w:sz w:val="22"/>
          <w:szCs w:val="22"/>
        </w:rPr>
        <w:t xml:space="preserve"> z důvodu nemožnosti dalšího snižování velkoobchodních cen</w:t>
      </w:r>
      <w:r w:rsidR="001246F8">
        <w:rPr>
          <w:rStyle w:val="Znakapoznpodarou"/>
          <w:rFonts w:ascii="Arial" w:hAnsi="Arial" w:cs="Arial"/>
          <w:b/>
          <w:sz w:val="22"/>
          <w:szCs w:val="22"/>
        </w:rPr>
        <w:footnoteReference w:id="5"/>
      </w:r>
      <w:r w:rsidR="001246F8">
        <w:rPr>
          <w:rFonts w:ascii="Arial" w:hAnsi="Arial" w:cs="Arial"/>
          <w:b/>
          <w:sz w:val="22"/>
          <w:szCs w:val="22"/>
        </w:rPr>
        <w:t>,</w:t>
      </w:r>
      <w:r w:rsidRPr="00646AEF">
        <w:rPr>
          <w:rFonts w:ascii="Arial" w:hAnsi="Arial" w:cs="Arial"/>
          <w:b/>
          <w:sz w:val="22"/>
          <w:szCs w:val="22"/>
        </w:rPr>
        <w:t xml:space="preserve"> a </w:t>
      </w:r>
      <w:r w:rsidR="00F86F8F" w:rsidRPr="00646AEF">
        <w:rPr>
          <w:rFonts w:ascii="Arial" w:hAnsi="Arial" w:cs="Arial"/>
          <w:b/>
          <w:sz w:val="22"/>
          <w:szCs w:val="22"/>
        </w:rPr>
        <w:t xml:space="preserve">tak </w:t>
      </w:r>
      <w:r w:rsidR="001246F8">
        <w:rPr>
          <w:rFonts w:ascii="Arial" w:hAnsi="Arial" w:cs="Arial"/>
          <w:b/>
          <w:sz w:val="22"/>
          <w:szCs w:val="22"/>
        </w:rPr>
        <w:t xml:space="preserve">vlastně </w:t>
      </w:r>
      <w:r w:rsidRPr="00646AEF">
        <w:rPr>
          <w:rFonts w:ascii="Arial" w:hAnsi="Arial" w:cs="Arial"/>
          <w:b/>
          <w:sz w:val="22"/>
          <w:szCs w:val="22"/>
        </w:rPr>
        <w:t xml:space="preserve">přispěje </w:t>
      </w:r>
      <w:r w:rsidR="0081340D" w:rsidRPr="00646AEF">
        <w:rPr>
          <w:rFonts w:ascii="Arial" w:hAnsi="Arial" w:cs="Arial"/>
          <w:b/>
          <w:sz w:val="22"/>
          <w:szCs w:val="22"/>
        </w:rPr>
        <w:t>k jejich efektivnímu vytlačení z</w:t>
      </w:r>
      <w:r w:rsidRPr="00646AEF">
        <w:rPr>
          <w:rFonts w:ascii="Arial" w:hAnsi="Arial" w:cs="Arial"/>
          <w:b/>
          <w:sz w:val="22"/>
          <w:szCs w:val="22"/>
        </w:rPr>
        <w:t xml:space="preserve"> trhu. </w:t>
      </w:r>
      <w:r w:rsidR="0081340D" w:rsidRPr="00646AEF">
        <w:rPr>
          <w:rFonts w:ascii="Arial" w:hAnsi="Arial" w:cs="Arial"/>
          <w:b/>
          <w:sz w:val="22"/>
          <w:szCs w:val="22"/>
        </w:rPr>
        <w:t>Samotný</w:t>
      </w:r>
      <w:r w:rsidRPr="00646AEF">
        <w:rPr>
          <w:rFonts w:ascii="Arial" w:hAnsi="Arial" w:cs="Arial"/>
          <w:b/>
          <w:sz w:val="22"/>
          <w:szCs w:val="22"/>
        </w:rPr>
        <w:t xml:space="preserve"> </w:t>
      </w:r>
      <w:r w:rsidR="0081340D" w:rsidRPr="00646AEF">
        <w:rPr>
          <w:rFonts w:ascii="Arial" w:hAnsi="Arial" w:cs="Arial"/>
          <w:b/>
          <w:sz w:val="22"/>
          <w:szCs w:val="22"/>
        </w:rPr>
        <w:t>ČTÚ</w:t>
      </w:r>
      <w:r w:rsidRPr="00646AEF">
        <w:rPr>
          <w:rFonts w:ascii="Arial" w:hAnsi="Arial" w:cs="Arial"/>
          <w:b/>
          <w:sz w:val="22"/>
          <w:szCs w:val="22"/>
        </w:rPr>
        <w:t xml:space="preserve"> </w:t>
      </w:r>
      <w:r w:rsidR="00F86F8F" w:rsidRPr="00646AEF">
        <w:rPr>
          <w:rFonts w:ascii="Arial" w:hAnsi="Arial" w:cs="Arial"/>
          <w:b/>
          <w:sz w:val="22"/>
          <w:szCs w:val="22"/>
        </w:rPr>
        <w:t xml:space="preserve">totiž </w:t>
      </w:r>
      <w:r w:rsidRPr="00646AEF">
        <w:rPr>
          <w:rFonts w:ascii="Arial" w:hAnsi="Arial" w:cs="Arial"/>
          <w:b/>
          <w:sz w:val="22"/>
          <w:szCs w:val="22"/>
        </w:rPr>
        <w:t xml:space="preserve">deklaruje, </w:t>
      </w:r>
      <w:r w:rsidR="0081340D" w:rsidRPr="00646AEF">
        <w:rPr>
          <w:rFonts w:ascii="Arial" w:hAnsi="Arial" w:cs="Arial"/>
          <w:b/>
          <w:sz w:val="22"/>
          <w:szCs w:val="22"/>
        </w:rPr>
        <w:t xml:space="preserve">že </w:t>
      </w:r>
      <w:r w:rsidR="00776515" w:rsidRPr="00646AEF">
        <w:rPr>
          <w:rFonts w:ascii="Arial" w:hAnsi="Arial" w:cs="Arial"/>
          <w:b/>
          <w:sz w:val="22"/>
          <w:szCs w:val="22"/>
        </w:rPr>
        <w:t>nabízené</w:t>
      </w:r>
      <w:r w:rsidRPr="00646AEF">
        <w:rPr>
          <w:rFonts w:ascii="Arial" w:hAnsi="Arial" w:cs="Arial"/>
          <w:b/>
          <w:sz w:val="22"/>
          <w:szCs w:val="22"/>
        </w:rPr>
        <w:t xml:space="preserve"> ceny za </w:t>
      </w:r>
      <w:r w:rsidR="00776515" w:rsidRPr="00646AEF">
        <w:rPr>
          <w:rFonts w:ascii="Arial" w:hAnsi="Arial" w:cs="Arial"/>
          <w:b/>
          <w:sz w:val="22"/>
          <w:szCs w:val="22"/>
        </w:rPr>
        <w:t xml:space="preserve">služby </w:t>
      </w:r>
      <w:r w:rsidRPr="00646AEF">
        <w:rPr>
          <w:rFonts w:ascii="Arial" w:hAnsi="Arial" w:cs="Arial"/>
          <w:b/>
          <w:sz w:val="22"/>
          <w:szCs w:val="22"/>
        </w:rPr>
        <w:t xml:space="preserve">na „perfektně“ fungujícím </w:t>
      </w:r>
      <w:r w:rsidR="0081340D" w:rsidRPr="00646AEF">
        <w:rPr>
          <w:rFonts w:ascii="Arial" w:hAnsi="Arial" w:cs="Arial"/>
          <w:b/>
          <w:sz w:val="22"/>
          <w:szCs w:val="22"/>
        </w:rPr>
        <w:t>firemním</w:t>
      </w:r>
      <w:r w:rsidRPr="00646AEF">
        <w:rPr>
          <w:rFonts w:ascii="Arial" w:hAnsi="Arial" w:cs="Arial"/>
          <w:b/>
          <w:sz w:val="22"/>
          <w:szCs w:val="22"/>
        </w:rPr>
        <w:t xml:space="preserve"> segmentu</w:t>
      </w:r>
      <w:r w:rsidR="00776515" w:rsidRPr="00646AEF">
        <w:rPr>
          <w:rFonts w:ascii="Arial" w:hAnsi="Arial" w:cs="Arial"/>
          <w:b/>
          <w:sz w:val="22"/>
          <w:szCs w:val="22"/>
        </w:rPr>
        <w:t xml:space="preserve"> jsou již dostatečně nízké</w:t>
      </w:r>
      <w:r w:rsidRPr="00646AEF">
        <w:rPr>
          <w:rFonts w:ascii="Arial" w:hAnsi="Arial" w:cs="Arial"/>
          <w:b/>
          <w:sz w:val="22"/>
          <w:szCs w:val="22"/>
        </w:rPr>
        <w:t xml:space="preserve"> </w:t>
      </w:r>
      <w:r w:rsidR="00776515" w:rsidRPr="00646AEF">
        <w:rPr>
          <w:rFonts w:ascii="Arial" w:hAnsi="Arial" w:cs="Arial"/>
          <w:b/>
          <w:sz w:val="22"/>
          <w:szCs w:val="22"/>
        </w:rPr>
        <w:t xml:space="preserve">a tento segment </w:t>
      </w:r>
      <w:r w:rsidR="00F86F8F" w:rsidRPr="00646AEF">
        <w:rPr>
          <w:rFonts w:ascii="Arial" w:hAnsi="Arial" w:cs="Arial"/>
          <w:b/>
          <w:sz w:val="22"/>
          <w:szCs w:val="22"/>
        </w:rPr>
        <w:t xml:space="preserve">tak </w:t>
      </w:r>
      <w:r w:rsidR="00776515" w:rsidRPr="00646AEF">
        <w:rPr>
          <w:rFonts w:ascii="Arial" w:hAnsi="Arial" w:cs="Arial"/>
          <w:b/>
          <w:sz w:val="22"/>
          <w:szCs w:val="22"/>
        </w:rPr>
        <w:t>neskýtá prostor pro další snížení cen</w:t>
      </w:r>
      <w:r w:rsidR="000B5C90">
        <w:rPr>
          <w:rStyle w:val="Znakapoznpodarou"/>
          <w:rFonts w:ascii="Arial" w:hAnsi="Arial" w:cs="Arial"/>
          <w:b/>
          <w:sz w:val="22"/>
          <w:szCs w:val="22"/>
        </w:rPr>
        <w:footnoteReference w:id="6"/>
      </w:r>
      <w:r w:rsidR="00776515" w:rsidRPr="00646AEF">
        <w:rPr>
          <w:rFonts w:ascii="Arial" w:hAnsi="Arial" w:cs="Arial"/>
          <w:b/>
          <w:sz w:val="22"/>
          <w:szCs w:val="22"/>
        </w:rPr>
        <w:t>. Bylo by proto nemožné MNO</w:t>
      </w:r>
      <w:r w:rsidRPr="00646AEF">
        <w:rPr>
          <w:rFonts w:ascii="Arial" w:hAnsi="Arial" w:cs="Arial"/>
          <w:b/>
          <w:sz w:val="22"/>
          <w:szCs w:val="22"/>
        </w:rPr>
        <w:t xml:space="preserve"> nutit, aby za </w:t>
      </w:r>
      <w:r w:rsidR="000B5C90">
        <w:rPr>
          <w:rFonts w:ascii="Arial" w:hAnsi="Arial" w:cs="Arial"/>
          <w:b/>
          <w:sz w:val="22"/>
          <w:szCs w:val="22"/>
        </w:rPr>
        <w:t xml:space="preserve">velkoobchodní </w:t>
      </w:r>
      <w:r w:rsidRPr="00646AEF">
        <w:rPr>
          <w:rFonts w:ascii="Arial" w:hAnsi="Arial" w:cs="Arial"/>
          <w:b/>
          <w:sz w:val="22"/>
          <w:szCs w:val="22"/>
        </w:rPr>
        <w:t>ceny ještě nižš</w:t>
      </w:r>
      <w:r w:rsidR="00776515" w:rsidRPr="00646AEF">
        <w:rPr>
          <w:rFonts w:ascii="Arial" w:hAnsi="Arial" w:cs="Arial"/>
          <w:b/>
          <w:sz w:val="22"/>
          <w:szCs w:val="22"/>
        </w:rPr>
        <w:t>í poskytovali svoje služby MVNO</w:t>
      </w:r>
      <w:r w:rsidRPr="00646AEF">
        <w:rPr>
          <w:rFonts w:ascii="Arial" w:hAnsi="Arial" w:cs="Arial"/>
          <w:b/>
          <w:sz w:val="22"/>
          <w:szCs w:val="22"/>
        </w:rPr>
        <w:t>, aby tito měli možnost ještě se ziskem podnikat</w:t>
      </w:r>
      <w:r w:rsidR="00007619" w:rsidRPr="00007619">
        <w:rPr>
          <w:rFonts w:ascii="Arial" w:hAnsi="Arial" w:cs="Arial"/>
          <w:b/>
          <w:sz w:val="22"/>
          <w:szCs w:val="22"/>
          <w:vertAlign w:val="superscript"/>
        </w:rPr>
        <w:t>5</w:t>
      </w:r>
      <w:r w:rsidRPr="00646AEF">
        <w:rPr>
          <w:rFonts w:ascii="Arial" w:hAnsi="Arial" w:cs="Arial"/>
          <w:b/>
          <w:sz w:val="22"/>
          <w:szCs w:val="22"/>
        </w:rPr>
        <w:t>.</w:t>
      </w:r>
      <w:r w:rsidR="006F0D99">
        <w:rPr>
          <w:rFonts w:ascii="Arial" w:hAnsi="Arial" w:cs="Arial"/>
          <w:b/>
          <w:sz w:val="22"/>
          <w:szCs w:val="22"/>
        </w:rPr>
        <w:t xml:space="preserve"> </w:t>
      </w:r>
      <w:r w:rsidR="006F0D99" w:rsidRPr="006F0D99">
        <w:rPr>
          <w:rFonts w:ascii="Arial" w:hAnsi="Arial" w:cs="Arial"/>
          <w:b/>
          <w:sz w:val="22"/>
          <w:szCs w:val="22"/>
        </w:rPr>
        <w:t xml:space="preserve">Požadavky některých MVNO, které aktuálně uplatňují ve svých připomínkách k Návrhu testu tří kritérií pro Trh mobilních služeb, a to sice, aby svými regulačními opatřeními ČTÚ donutil MNO k snížení velkoobchodních cen určených pro firemní segment, jsou proto </w:t>
      </w:r>
      <w:r w:rsidR="006F0D99">
        <w:rPr>
          <w:rFonts w:ascii="Arial" w:hAnsi="Arial" w:cs="Arial"/>
          <w:b/>
          <w:sz w:val="22"/>
          <w:szCs w:val="22"/>
        </w:rPr>
        <w:t xml:space="preserve">zcela </w:t>
      </w:r>
      <w:r w:rsidR="006F0D99" w:rsidRPr="006F0D99">
        <w:rPr>
          <w:rFonts w:ascii="Arial" w:hAnsi="Arial" w:cs="Arial"/>
          <w:b/>
          <w:sz w:val="22"/>
          <w:szCs w:val="22"/>
        </w:rPr>
        <w:t>mimo jakoukoliv realitu.</w:t>
      </w:r>
    </w:p>
    <w:p w14:paraId="2902D997" w14:textId="77777777" w:rsidR="00024677" w:rsidRDefault="00024677" w:rsidP="0002467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892F766" w14:textId="77777777" w:rsidR="0039353B" w:rsidRDefault="0039353B" w:rsidP="0002467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505DA6F" w14:textId="77777777" w:rsidR="00007619" w:rsidRPr="0083047F" w:rsidRDefault="00007619" w:rsidP="0002467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D62467A" w14:textId="0804C55A" w:rsidR="00024677" w:rsidRDefault="00024677" w:rsidP="005C5801">
      <w:pPr>
        <w:pStyle w:val="Nadpis2"/>
        <w:ind w:left="426" w:hanging="426"/>
      </w:pPr>
      <w:r w:rsidRPr="00024677">
        <w:lastRenderedPageBreak/>
        <w:t>Úprava textu o datech reportovaných společností O2 Czech Republic a.s.</w:t>
      </w:r>
      <w:r w:rsidR="002C1223">
        <w:t xml:space="preserve"> – str. 58</w:t>
      </w:r>
    </w:p>
    <w:p w14:paraId="69658006" w14:textId="77777777" w:rsidR="00024677" w:rsidRDefault="00024677" w:rsidP="00024677">
      <w:pPr>
        <w:ind w:left="360"/>
        <w:rPr>
          <w:rFonts w:ascii="Arial" w:hAnsi="Arial" w:cs="Arial"/>
          <w:i/>
          <w:sz w:val="22"/>
          <w:szCs w:val="22"/>
        </w:rPr>
      </w:pPr>
    </w:p>
    <w:p w14:paraId="69D88FE1" w14:textId="77777777" w:rsidR="00024677" w:rsidRPr="00024677" w:rsidRDefault="00024677" w:rsidP="00024677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024677">
        <w:rPr>
          <w:rFonts w:ascii="Arial" w:hAnsi="Arial" w:cs="Arial"/>
          <w:i/>
          <w:sz w:val="22"/>
          <w:szCs w:val="22"/>
        </w:rPr>
        <w:t>Návrh na doplnění, změnu, zrušení nebo nahrazení textu ustanovení návrhu opatření:</w:t>
      </w:r>
    </w:p>
    <w:p w14:paraId="08C432AB" w14:textId="77777777" w:rsidR="00024677" w:rsidRDefault="00024677" w:rsidP="00024677">
      <w:pPr>
        <w:ind w:left="360"/>
        <w:rPr>
          <w:rFonts w:ascii="Arial" w:hAnsi="Arial" w:cs="Arial"/>
          <w:i/>
          <w:sz w:val="22"/>
          <w:szCs w:val="22"/>
        </w:rPr>
      </w:pPr>
    </w:p>
    <w:p w14:paraId="12CD0C54" w14:textId="5075153C" w:rsidR="00024677" w:rsidRPr="00600766" w:rsidRDefault="00024677" w:rsidP="0002467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00766">
        <w:rPr>
          <w:rFonts w:ascii="Arial" w:hAnsi="Arial" w:cs="Arial"/>
          <w:b/>
          <w:sz w:val="22"/>
          <w:szCs w:val="22"/>
        </w:rPr>
        <w:t>Společnost O2 není ani nadále schopna reportovat reálné tržby dle jednotlivých služeb. Činí tak pouze na základě pokynu a metodiky</w:t>
      </w:r>
      <w:r w:rsidR="00094D2A">
        <w:rPr>
          <w:rFonts w:ascii="Arial" w:hAnsi="Arial" w:cs="Arial"/>
          <w:b/>
          <w:sz w:val="22"/>
          <w:szCs w:val="22"/>
        </w:rPr>
        <w:t xml:space="preserve"> ČTÚ</w:t>
      </w:r>
      <w:r w:rsidRPr="00600766">
        <w:rPr>
          <w:rFonts w:ascii="Arial" w:hAnsi="Arial" w:cs="Arial"/>
          <w:b/>
          <w:sz w:val="22"/>
          <w:szCs w:val="22"/>
        </w:rPr>
        <w:t xml:space="preserve">, tedy </w:t>
      </w:r>
      <w:r w:rsidR="00ED35C5" w:rsidRPr="00600766">
        <w:rPr>
          <w:rFonts w:ascii="Arial" w:hAnsi="Arial" w:cs="Arial"/>
          <w:b/>
          <w:sz w:val="22"/>
          <w:szCs w:val="22"/>
        </w:rPr>
        <w:t xml:space="preserve">na základě uměle vytvořeného koeficientu, který </w:t>
      </w:r>
      <w:r w:rsidR="004E7D56">
        <w:rPr>
          <w:rFonts w:ascii="Arial" w:hAnsi="Arial" w:cs="Arial"/>
          <w:b/>
          <w:sz w:val="22"/>
          <w:szCs w:val="22"/>
        </w:rPr>
        <w:t xml:space="preserve">ale </w:t>
      </w:r>
      <w:r w:rsidR="00ED35C5" w:rsidRPr="00600766">
        <w:rPr>
          <w:rFonts w:ascii="Arial" w:hAnsi="Arial" w:cs="Arial"/>
          <w:b/>
          <w:sz w:val="22"/>
          <w:szCs w:val="22"/>
        </w:rPr>
        <w:t>neodpovídá realitě</w:t>
      </w:r>
      <w:r w:rsidRPr="00600766">
        <w:rPr>
          <w:rFonts w:ascii="Arial" w:hAnsi="Arial" w:cs="Arial"/>
          <w:b/>
          <w:sz w:val="22"/>
          <w:szCs w:val="22"/>
        </w:rPr>
        <w:t>.</w:t>
      </w:r>
    </w:p>
    <w:p w14:paraId="58D2DC1E" w14:textId="77777777" w:rsidR="00AC16B8" w:rsidRDefault="00AC16B8" w:rsidP="00007619">
      <w:pPr>
        <w:rPr>
          <w:rFonts w:ascii="Arial" w:hAnsi="Arial" w:cs="Arial"/>
          <w:i/>
          <w:sz w:val="22"/>
          <w:szCs w:val="22"/>
        </w:rPr>
      </w:pPr>
    </w:p>
    <w:p w14:paraId="692A2E32" w14:textId="77777777" w:rsidR="00024677" w:rsidRDefault="00024677" w:rsidP="00024677">
      <w:pPr>
        <w:ind w:left="360"/>
        <w:rPr>
          <w:rFonts w:ascii="Arial" w:hAnsi="Arial" w:cs="Arial"/>
          <w:i/>
          <w:sz w:val="22"/>
          <w:szCs w:val="22"/>
        </w:rPr>
      </w:pPr>
      <w:r w:rsidRPr="00024677">
        <w:rPr>
          <w:rFonts w:ascii="Arial" w:hAnsi="Arial" w:cs="Arial"/>
          <w:i/>
          <w:sz w:val="22"/>
          <w:szCs w:val="22"/>
        </w:rPr>
        <w:t>Odůvodnění:</w:t>
      </w:r>
    </w:p>
    <w:p w14:paraId="75ED6328" w14:textId="77777777" w:rsidR="00024677" w:rsidRDefault="00024677" w:rsidP="00024677">
      <w:pPr>
        <w:ind w:left="360"/>
        <w:rPr>
          <w:rFonts w:ascii="Arial" w:hAnsi="Arial" w:cs="Arial"/>
          <w:i/>
          <w:sz w:val="22"/>
          <w:szCs w:val="22"/>
        </w:rPr>
      </w:pPr>
    </w:p>
    <w:p w14:paraId="2F01F4D6" w14:textId="711D041F" w:rsidR="00024677" w:rsidRPr="00ED35C5" w:rsidRDefault="00ED35C5" w:rsidP="00ED35C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Není možné reportovat reálnou výši tržeb pro jednotlivé služby. Reportovaná data jsou tedy pouze uměle vytvořená a nelze je používat pro </w:t>
      </w:r>
      <w:r w:rsidRPr="00ED35C5">
        <w:rPr>
          <w:rFonts w:ascii="Arial" w:hAnsi="Arial" w:cs="Arial"/>
          <w:sz w:val="22"/>
          <w:szCs w:val="22"/>
        </w:rPr>
        <w:t xml:space="preserve">analýzu, na základě které </w:t>
      </w:r>
      <w:r w:rsidR="004E7D56">
        <w:rPr>
          <w:rFonts w:ascii="Arial" w:hAnsi="Arial" w:cs="Arial"/>
          <w:sz w:val="22"/>
          <w:szCs w:val="22"/>
        </w:rPr>
        <w:t xml:space="preserve">by mohly být </w:t>
      </w:r>
      <w:r w:rsidRPr="00ED35C5">
        <w:rPr>
          <w:rFonts w:ascii="Arial" w:hAnsi="Arial" w:cs="Arial"/>
          <w:sz w:val="22"/>
          <w:szCs w:val="22"/>
        </w:rPr>
        <w:t xml:space="preserve">ukládány jakékoli </w:t>
      </w:r>
      <w:r w:rsidR="004E7D56">
        <w:rPr>
          <w:rFonts w:ascii="Arial" w:hAnsi="Arial" w:cs="Arial"/>
          <w:sz w:val="22"/>
          <w:szCs w:val="22"/>
        </w:rPr>
        <w:t xml:space="preserve">regulační </w:t>
      </w:r>
      <w:r w:rsidRPr="00ED35C5">
        <w:rPr>
          <w:rFonts w:ascii="Arial" w:hAnsi="Arial" w:cs="Arial"/>
          <w:sz w:val="22"/>
          <w:szCs w:val="22"/>
        </w:rPr>
        <w:t>povinnosti</w:t>
      </w:r>
      <w:r w:rsidR="00D9326E">
        <w:rPr>
          <w:rFonts w:ascii="Arial" w:hAnsi="Arial" w:cs="Arial"/>
          <w:sz w:val="22"/>
          <w:szCs w:val="22"/>
        </w:rPr>
        <w:t>, na což jsme mnohokrát ČTÚ upozorňovali i při vyplňování formulářů k sběru dat, právě z důvodu obavy, zřejmě správné, že takto uměle vytvořená data mohou být ČTÚ desinterpretována v zásadě za jakýmkoliv účelem</w:t>
      </w:r>
      <w:r w:rsidRPr="00ED35C5">
        <w:rPr>
          <w:rFonts w:ascii="Arial" w:hAnsi="Arial" w:cs="Arial"/>
          <w:sz w:val="22"/>
          <w:szCs w:val="22"/>
        </w:rPr>
        <w:t>.</w:t>
      </w:r>
    </w:p>
    <w:p w14:paraId="171B31FB" w14:textId="77777777" w:rsidR="0068548A" w:rsidRDefault="0068548A" w:rsidP="00B12A9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C99C2D7" w14:textId="77777777" w:rsidR="00007619" w:rsidRDefault="00007619" w:rsidP="00B12A9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85BF23F" w14:textId="79683DB9" w:rsidR="00D063BB" w:rsidRPr="002959D1" w:rsidRDefault="0068548A" w:rsidP="005C5801">
      <w:pPr>
        <w:pStyle w:val="Nadpis2"/>
        <w:ind w:left="426" w:hanging="426"/>
      </w:pPr>
      <w:r w:rsidRPr="002959D1">
        <w:t xml:space="preserve">Zohlednění ukončení legislativního procesu </w:t>
      </w:r>
      <w:r w:rsidR="0039253A" w:rsidRPr="002959D1">
        <w:t>novely Zákona o elektronických komunikacích</w:t>
      </w:r>
      <w:r w:rsidR="002C1223">
        <w:t xml:space="preserve"> –</w:t>
      </w:r>
      <w:r w:rsidR="00600766">
        <w:t xml:space="preserve"> </w:t>
      </w:r>
      <w:r w:rsidR="002C1223">
        <w:t>str. 62</w:t>
      </w:r>
    </w:p>
    <w:p w14:paraId="5182B0DE" w14:textId="77777777" w:rsidR="0039253A" w:rsidRDefault="0039253A" w:rsidP="0039253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90482CE" w14:textId="77777777" w:rsidR="0039253A" w:rsidRPr="00024677" w:rsidRDefault="0039253A" w:rsidP="00024677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024677">
        <w:rPr>
          <w:rFonts w:ascii="Arial" w:hAnsi="Arial" w:cs="Arial"/>
          <w:i/>
          <w:sz w:val="22"/>
          <w:szCs w:val="22"/>
        </w:rPr>
        <w:t>Návrh na doplnění, změnu, zrušení nebo nahrazení textu ustanovení návrhu opatření:</w:t>
      </w:r>
    </w:p>
    <w:p w14:paraId="05F60A1B" w14:textId="77777777" w:rsidR="00117A9A" w:rsidRDefault="00117A9A" w:rsidP="00B12A90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14:paraId="7A695517" w14:textId="25D895B9" w:rsidR="00D063BB" w:rsidRPr="00024677" w:rsidRDefault="0039253A" w:rsidP="0002467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024677">
        <w:rPr>
          <w:rFonts w:ascii="Arial" w:hAnsi="Arial" w:cs="Arial"/>
          <w:b/>
          <w:sz w:val="22"/>
          <w:szCs w:val="22"/>
        </w:rPr>
        <w:t>Upravení odstavce mezi řádky 1642-1659 tak, aby zohlednil vstup novely Zákona o elektronických komunikacích v platnost a tedy neexistenci problém</w:t>
      </w:r>
      <w:r w:rsidR="0039353B">
        <w:rPr>
          <w:rFonts w:ascii="Arial" w:hAnsi="Arial" w:cs="Arial"/>
          <w:b/>
          <w:sz w:val="22"/>
          <w:szCs w:val="22"/>
        </w:rPr>
        <w:t>u</w:t>
      </w:r>
      <w:r w:rsidR="004E7D56">
        <w:rPr>
          <w:rFonts w:ascii="Arial" w:hAnsi="Arial" w:cs="Arial"/>
          <w:b/>
          <w:sz w:val="22"/>
          <w:szCs w:val="22"/>
        </w:rPr>
        <w:t>, které</w:t>
      </w:r>
      <w:r w:rsidRPr="00024677">
        <w:rPr>
          <w:rFonts w:ascii="Arial" w:hAnsi="Arial" w:cs="Arial"/>
          <w:b/>
          <w:sz w:val="22"/>
          <w:szCs w:val="22"/>
        </w:rPr>
        <w:t xml:space="preserve"> </w:t>
      </w:r>
      <w:r w:rsidR="004E7D56">
        <w:rPr>
          <w:rFonts w:ascii="Arial" w:hAnsi="Arial" w:cs="Arial"/>
          <w:b/>
          <w:sz w:val="22"/>
          <w:szCs w:val="22"/>
        </w:rPr>
        <w:t>dříve ČTÚ jako problém</w:t>
      </w:r>
      <w:r w:rsidR="0039353B" w:rsidRPr="0039353B">
        <w:rPr>
          <w:rFonts w:ascii="Arial" w:hAnsi="Arial" w:cs="Arial"/>
          <w:b/>
          <w:sz w:val="22"/>
          <w:szCs w:val="22"/>
        </w:rPr>
        <w:t xml:space="preserve"> </w:t>
      </w:r>
      <w:r w:rsidR="0039353B">
        <w:rPr>
          <w:rFonts w:ascii="Arial" w:hAnsi="Arial" w:cs="Arial"/>
          <w:b/>
          <w:sz w:val="22"/>
          <w:szCs w:val="22"/>
        </w:rPr>
        <w:t>vnímal</w:t>
      </w:r>
      <w:r w:rsidRPr="00024677">
        <w:rPr>
          <w:rFonts w:ascii="Arial" w:hAnsi="Arial" w:cs="Arial"/>
          <w:b/>
          <w:sz w:val="22"/>
          <w:szCs w:val="22"/>
        </w:rPr>
        <w:t>.</w:t>
      </w:r>
    </w:p>
    <w:p w14:paraId="5F5D9D5D" w14:textId="77777777" w:rsidR="0039253A" w:rsidRDefault="0039253A" w:rsidP="00B12A9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1804EDF" w14:textId="77777777" w:rsidR="0039253A" w:rsidRPr="0002076A" w:rsidRDefault="0039253A" w:rsidP="00024677">
      <w:pPr>
        <w:ind w:firstLine="360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4AEE6182" w14:textId="77777777" w:rsidR="00117A9A" w:rsidRDefault="00117A9A" w:rsidP="00B12A9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256AE92E" w14:textId="451ABB9B" w:rsidR="0039253A" w:rsidRPr="00024677" w:rsidRDefault="002959D1" w:rsidP="00024677">
      <w:pPr>
        <w:ind w:left="360"/>
        <w:jc w:val="both"/>
        <w:rPr>
          <w:rFonts w:ascii="Arial" w:hAnsi="Arial" w:cs="Arial"/>
          <w:sz w:val="22"/>
          <w:szCs w:val="22"/>
        </w:rPr>
      </w:pPr>
      <w:r w:rsidRPr="00024677">
        <w:rPr>
          <w:rFonts w:ascii="Arial" w:hAnsi="Arial" w:cs="Arial"/>
          <w:sz w:val="22"/>
          <w:szCs w:val="22"/>
        </w:rPr>
        <w:t xml:space="preserve">Vstupem </w:t>
      </w:r>
      <w:r w:rsidR="004E7D56">
        <w:rPr>
          <w:rFonts w:ascii="Arial" w:hAnsi="Arial" w:cs="Arial"/>
          <w:sz w:val="22"/>
          <w:szCs w:val="22"/>
        </w:rPr>
        <w:t xml:space="preserve">novely </w:t>
      </w:r>
      <w:r w:rsidRPr="00024677">
        <w:rPr>
          <w:rFonts w:ascii="Arial" w:hAnsi="Arial" w:cs="Arial"/>
          <w:sz w:val="22"/>
          <w:szCs w:val="22"/>
        </w:rPr>
        <w:t xml:space="preserve">Zákona o elektronických komunikacích v platnost dne 2. 9. 2017, která zkracuje výpovědní dobu související s přenesením telefonního čísla na 10 dní, je tento </w:t>
      </w:r>
      <w:r w:rsidR="004E7D56">
        <w:rPr>
          <w:rFonts w:ascii="Arial" w:hAnsi="Arial" w:cs="Arial"/>
          <w:sz w:val="22"/>
          <w:szCs w:val="22"/>
        </w:rPr>
        <w:t xml:space="preserve">ČTÚ </w:t>
      </w:r>
      <w:r w:rsidRPr="00024677">
        <w:rPr>
          <w:rFonts w:ascii="Arial" w:hAnsi="Arial" w:cs="Arial"/>
          <w:sz w:val="22"/>
          <w:szCs w:val="22"/>
        </w:rPr>
        <w:t xml:space="preserve">identifikovaný problém </w:t>
      </w:r>
      <w:r w:rsidR="00600766">
        <w:rPr>
          <w:rFonts w:ascii="Arial" w:hAnsi="Arial" w:cs="Arial"/>
          <w:sz w:val="22"/>
          <w:szCs w:val="22"/>
        </w:rPr>
        <w:t>nerelevantní.</w:t>
      </w:r>
    </w:p>
    <w:p w14:paraId="1F9BA7B8" w14:textId="77777777" w:rsidR="00B12A90" w:rsidRDefault="00B12A90" w:rsidP="00B12A90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14:paraId="36B29FF9" w14:textId="77777777" w:rsidR="0039353B" w:rsidRDefault="0039353B" w:rsidP="00B12A90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14:paraId="799A5236" w14:textId="297634B4" w:rsidR="002959D1" w:rsidRDefault="002959D1" w:rsidP="005C5801">
      <w:pPr>
        <w:pStyle w:val="Nadpis2"/>
        <w:ind w:left="426" w:hanging="426"/>
      </w:pPr>
      <w:r>
        <w:t>Změna závěru kritéria č. 2 - S</w:t>
      </w:r>
      <w:r w:rsidRPr="002959D1">
        <w:t>truktura trhu, který v daném časovém horizontu nesměřuje k účinné hospodářské</w:t>
      </w:r>
      <w:r>
        <w:t xml:space="preserve"> </w:t>
      </w:r>
      <w:r w:rsidRPr="002959D1">
        <w:t>soutěži, a to s ohledem na stav hospodářské soutěže založené</w:t>
      </w:r>
      <w:r>
        <w:t xml:space="preserve"> na infrastruktuře</w:t>
      </w:r>
      <w:r w:rsidRPr="002959D1">
        <w:t xml:space="preserve"> a jiné hospodářské soutěže, kt</w:t>
      </w:r>
      <w:r>
        <w:t>eré vyvolávají překážky vstupu</w:t>
      </w:r>
      <w:r w:rsidR="002C1223">
        <w:t xml:space="preserve"> – str. 66-67</w:t>
      </w:r>
    </w:p>
    <w:p w14:paraId="219D0BE4" w14:textId="77777777" w:rsidR="002959D1" w:rsidRDefault="002959D1" w:rsidP="002959D1">
      <w:pPr>
        <w:ind w:left="720"/>
        <w:jc w:val="both"/>
        <w:rPr>
          <w:rFonts w:ascii="Arial" w:hAnsi="Arial" w:cs="Arial"/>
          <w:b/>
        </w:rPr>
      </w:pPr>
    </w:p>
    <w:p w14:paraId="16CE1BB6" w14:textId="77777777" w:rsidR="002959D1" w:rsidRPr="00024677" w:rsidRDefault="002959D1" w:rsidP="00024677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024677">
        <w:rPr>
          <w:rFonts w:ascii="Arial" w:hAnsi="Arial" w:cs="Arial"/>
          <w:i/>
          <w:sz w:val="22"/>
          <w:szCs w:val="22"/>
        </w:rPr>
        <w:t>Návrh na doplnění, změnu, zrušení nebo nahrazení textu ustanovení návrhu opatření:</w:t>
      </w:r>
    </w:p>
    <w:p w14:paraId="3DD4B813" w14:textId="77777777" w:rsidR="002959D1" w:rsidRDefault="002959D1" w:rsidP="002959D1">
      <w:pPr>
        <w:ind w:left="720"/>
        <w:jc w:val="both"/>
        <w:rPr>
          <w:rFonts w:ascii="Arial" w:hAnsi="Arial" w:cs="Arial"/>
          <w:b/>
        </w:rPr>
      </w:pPr>
    </w:p>
    <w:p w14:paraId="2337912C" w14:textId="575F9989" w:rsidR="00D055DA" w:rsidRDefault="00117A9A" w:rsidP="00D055DA">
      <w:pPr>
        <w:ind w:left="357"/>
        <w:jc w:val="both"/>
        <w:rPr>
          <w:rFonts w:ascii="Arial" w:hAnsi="Arial" w:cs="Arial"/>
          <w:sz w:val="22"/>
          <w:szCs w:val="22"/>
        </w:rPr>
      </w:pPr>
      <w:r w:rsidRPr="00117A9A">
        <w:rPr>
          <w:rFonts w:ascii="Arial" w:hAnsi="Arial" w:cs="Arial"/>
          <w:b/>
          <w:sz w:val="22"/>
          <w:szCs w:val="22"/>
        </w:rPr>
        <w:t>Stejně jako v připomínce k závěr</w:t>
      </w:r>
      <w:r w:rsidR="0039353B">
        <w:rPr>
          <w:rFonts w:ascii="Arial" w:hAnsi="Arial" w:cs="Arial"/>
          <w:b/>
          <w:sz w:val="22"/>
          <w:szCs w:val="22"/>
        </w:rPr>
        <w:t>u</w:t>
      </w:r>
      <w:r w:rsidRPr="00117A9A">
        <w:rPr>
          <w:rFonts w:ascii="Arial" w:hAnsi="Arial" w:cs="Arial"/>
          <w:b/>
          <w:sz w:val="22"/>
          <w:szCs w:val="22"/>
        </w:rPr>
        <w:t xml:space="preserve"> vyhodnocení kritéria č. 1 navrhuje</w:t>
      </w:r>
      <w:r w:rsidR="004E7D56">
        <w:rPr>
          <w:rFonts w:ascii="Arial" w:hAnsi="Arial" w:cs="Arial"/>
          <w:b/>
          <w:sz w:val="22"/>
          <w:szCs w:val="22"/>
        </w:rPr>
        <w:t xml:space="preserve"> společnost O2</w:t>
      </w:r>
      <w:r w:rsidR="00214D0D">
        <w:rPr>
          <w:rFonts w:ascii="Arial" w:hAnsi="Arial" w:cs="Arial"/>
          <w:b/>
          <w:sz w:val="22"/>
          <w:szCs w:val="22"/>
        </w:rPr>
        <w:t>,</w:t>
      </w:r>
      <w:r w:rsidRPr="00117A9A">
        <w:rPr>
          <w:rFonts w:ascii="Arial" w:hAnsi="Arial" w:cs="Arial"/>
          <w:b/>
          <w:sz w:val="22"/>
          <w:szCs w:val="22"/>
        </w:rPr>
        <w:t xml:space="preserve"> vzhledem k</w:t>
      </w:r>
      <w:r w:rsidR="00600766">
        <w:rPr>
          <w:rFonts w:ascii="Arial" w:hAnsi="Arial" w:cs="Arial"/>
          <w:b/>
          <w:sz w:val="22"/>
          <w:szCs w:val="22"/>
        </w:rPr>
        <w:t xml:space="preserve"> jeho </w:t>
      </w:r>
      <w:r w:rsidRPr="00117A9A">
        <w:rPr>
          <w:rFonts w:ascii="Arial" w:hAnsi="Arial" w:cs="Arial"/>
          <w:b/>
          <w:sz w:val="22"/>
          <w:szCs w:val="22"/>
        </w:rPr>
        <w:t>neopodstatněnosti</w:t>
      </w:r>
      <w:r w:rsidR="00214D0D">
        <w:rPr>
          <w:rFonts w:ascii="Arial" w:hAnsi="Arial" w:cs="Arial"/>
          <w:b/>
          <w:sz w:val="22"/>
          <w:szCs w:val="22"/>
        </w:rPr>
        <w:t xml:space="preserve"> a vnitřnímu rozporu hodnocení ČTÚ a </w:t>
      </w:r>
      <w:r w:rsidR="0039353B">
        <w:rPr>
          <w:rFonts w:ascii="Arial" w:hAnsi="Arial" w:cs="Arial"/>
          <w:b/>
          <w:sz w:val="22"/>
          <w:szCs w:val="22"/>
        </w:rPr>
        <w:t xml:space="preserve">z toho plynoucího </w:t>
      </w:r>
      <w:r w:rsidR="00214D0D">
        <w:rPr>
          <w:rFonts w:ascii="Arial" w:hAnsi="Arial" w:cs="Arial"/>
          <w:b/>
          <w:sz w:val="22"/>
          <w:szCs w:val="22"/>
        </w:rPr>
        <w:t>závěru,</w:t>
      </w:r>
      <w:r w:rsidRPr="00117A9A">
        <w:rPr>
          <w:rFonts w:ascii="Arial" w:hAnsi="Arial" w:cs="Arial"/>
          <w:b/>
          <w:sz w:val="22"/>
          <w:szCs w:val="22"/>
        </w:rPr>
        <w:t xml:space="preserve"> </w:t>
      </w:r>
      <w:r w:rsidR="00825F0F">
        <w:rPr>
          <w:rFonts w:ascii="Arial" w:hAnsi="Arial" w:cs="Arial"/>
          <w:b/>
          <w:sz w:val="22"/>
          <w:szCs w:val="22"/>
        </w:rPr>
        <w:t xml:space="preserve">aby ČTÚ provedl </w:t>
      </w:r>
      <w:r w:rsidRPr="00117A9A">
        <w:rPr>
          <w:rFonts w:ascii="Arial" w:hAnsi="Arial" w:cs="Arial"/>
          <w:b/>
          <w:sz w:val="22"/>
          <w:szCs w:val="22"/>
        </w:rPr>
        <w:t>změnu vyhodnocení ve smysl</w:t>
      </w:r>
      <w:r w:rsidR="00A04B32">
        <w:rPr>
          <w:rFonts w:ascii="Arial" w:hAnsi="Arial" w:cs="Arial"/>
          <w:b/>
          <w:sz w:val="22"/>
          <w:szCs w:val="22"/>
        </w:rPr>
        <w:t>u</w:t>
      </w:r>
      <w:r w:rsidRPr="00117A9A">
        <w:rPr>
          <w:rFonts w:ascii="Arial" w:hAnsi="Arial" w:cs="Arial"/>
          <w:b/>
          <w:sz w:val="22"/>
          <w:szCs w:val="22"/>
        </w:rPr>
        <w:t xml:space="preserve"> nesplnění kritéria č. 2 </w:t>
      </w:r>
      <w:proofErr w:type="spellStart"/>
      <w:r w:rsidRPr="00117A9A">
        <w:rPr>
          <w:rFonts w:ascii="Arial" w:hAnsi="Arial" w:cs="Arial"/>
          <w:b/>
          <w:sz w:val="22"/>
          <w:szCs w:val="22"/>
        </w:rPr>
        <w:t>třikriteriálního</w:t>
      </w:r>
      <w:proofErr w:type="spellEnd"/>
      <w:r w:rsidRPr="00117A9A">
        <w:rPr>
          <w:rFonts w:ascii="Arial" w:hAnsi="Arial" w:cs="Arial"/>
          <w:b/>
          <w:sz w:val="22"/>
          <w:szCs w:val="22"/>
        </w:rPr>
        <w:t xml:space="preserve"> testu.</w:t>
      </w:r>
      <w:r w:rsidR="00D055DA">
        <w:rPr>
          <w:rFonts w:ascii="Arial" w:hAnsi="Arial" w:cs="Arial"/>
          <w:b/>
          <w:sz w:val="22"/>
          <w:szCs w:val="22"/>
        </w:rPr>
        <w:t xml:space="preserve"> Dynamika vývoje na trhu rovněž ukazuje, že p</w:t>
      </w:r>
      <w:r w:rsidR="00D055DA" w:rsidRPr="008E3F7E">
        <w:rPr>
          <w:rFonts w:ascii="Arial" w:hAnsi="Arial" w:cs="Arial"/>
          <w:b/>
          <w:sz w:val="22"/>
          <w:szCs w:val="22"/>
        </w:rPr>
        <w:t xml:space="preserve">rovedený test </w:t>
      </w:r>
      <w:r w:rsidR="00D055DA">
        <w:rPr>
          <w:rFonts w:ascii="Arial" w:hAnsi="Arial" w:cs="Arial"/>
          <w:b/>
          <w:sz w:val="22"/>
          <w:szCs w:val="22"/>
        </w:rPr>
        <w:t xml:space="preserve">je již neaktuální a </w:t>
      </w:r>
      <w:r w:rsidR="00D055DA" w:rsidRPr="008E3F7E">
        <w:rPr>
          <w:rFonts w:ascii="Arial" w:hAnsi="Arial" w:cs="Arial"/>
          <w:b/>
          <w:sz w:val="22"/>
          <w:szCs w:val="22"/>
        </w:rPr>
        <w:t xml:space="preserve">neodrážející </w:t>
      </w:r>
      <w:r w:rsidR="00D055DA">
        <w:rPr>
          <w:rFonts w:ascii="Arial" w:hAnsi="Arial" w:cs="Arial"/>
          <w:b/>
          <w:sz w:val="22"/>
          <w:szCs w:val="22"/>
        </w:rPr>
        <w:t>stávající</w:t>
      </w:r>
      <w:r w:rsidR="00D055DA" w:rsidRPr="008E3F7E">
        <w:rPr>
          <w:rFonts w:ascii="Arial" w:hAnsi="Arial" w:cs="Arial"/>
          <w:b/>
          <w:sz w:val="22"/>
          <w:szCs w:val="22"/>
        </w:rPr>
        <w:t xml:space="preserve"> situaci na </w:t>
      </w:r>
      <w:r w:rsidR="00D055DA">
        <w:rPr>
          <w:rFonts w:ascii="Arial" w:hAnsi="Arial" w:cs="Arial"/>
          <w:b/>
          <w:sz w:val="22"/>
          <w:szCs w:val="22"/>
        </w:rPr>
        <w:t xml:space="preserve">definovaném </w:t>
      </w:r>
      <w:r w:rsidR="00D055DA" w:rsidRPr="008E3F7E">
        <w:rPr>
          <w:rFonts w:ascii="Arial" w:hAnsi="Arial" w:cs="Arial"/>
          <w:b/>
          <w:sz w:val="22"/>
          <w:szCs w:val="22"/>
        </w:rPr>
        <w:t>trhu.</w:t>
      </w:r>
    </w:p>
    <w:p w14:paraId="361F9ECE" w14:textId="30AE2113" w:rsidR="00117A9A" w:rsidRDefault="00117A9A" w:rsidP="0002467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1D4AF50" w14:textId="77777777" w:rsidR="00007619" w:rsidRDefault="00007619" w:rsidP="0002467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756579E" w14:textId="77777777" w:rsidR="00007619" w:rsidRDefault="00007619" w:rsidP="0002467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66C3425" w14:textId="77777777" w:rsidR="00007619" w:rsidRDefault="00007619" w:rsidP="0002467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4DD2D4E" w14:textId="77777777" w:rsidR="00117A9A" w:rsidRDefault="00117A9A" w:rsidP="00024677">
      <w:pPr>
        <w:ind w:firstLine="360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lastRenderedPageBreak/>
        <w:t>Odůvodnění:</w:t>
      </w:r>
    </w:p>
    <w:p w14:paraId="341FB4DF" w14:textId="77777777" w:rsidR="00117A9A" w:rsidRDefault="00117A9A" w:rsidP="00117A9A">
      <w:pPr>
        <w:ind w:firstLine="708"/>
        <w:rPr>
          <w:rFonts w:ascii="Arial" w:hAnsi="Arial" w:cs="Arial"/>
          <w:i/>
          <w:sz w:val="22"/>
          <w:szCs w:val="22"/>
        </w:rPr>
      </w:pPr>
    </w:p>
    <w:p w14:paraId="7A49A195" w14:textId="7985F18C" w:rsidR="007D13AE" w:rsidRPr="0083047F" w:rsidRDefault="00600766" w:rsidP="0002467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3047F">
        <w:rPr>
          <w:rFonts w:ascii="Arial" w:hAnsi="Arial" w:cs="Arial"/>
          <w:b/>
          <w:sz w:val="22"/>
          <w:szCs w:val="22"/>
        </w:rPr>
        <w:t>Č</w:t>
      </w:r>
      <w:r w:rsidR="00214D0D" w:rsidRPr="0083047F">
        <w:rPr>
          <w:rFonts w:ascii="Arial" w:hAnsi="Arial" w:cs="Arial"/>
          <w:b/>
          <w:sz w:val="22"/>
          <w:szCs w:val="22"/>
        </w:rPr>
        <w:t>TÚ</w:t>
      </w:r>
      <w:r w:rsidR="00E86927" w:rsidRPr="0083047F">
        <w:rPr>
          <w:rFonts w:ascii="Arial" w:hAnsi="Arial" w:cs="Arial"/>
          <w:b/>
          <w:sz w:val="22"/>
          <w:szCs w:val="22"/>
        </w:rPr>
        <w:t xml:space="preserve"> v analýze této části došel k tomu, že na trhu je velké množství MVNO a jejich podíl na trhu </w:t>
      </w:r>
      <w:r w:rsidR="005F73BF" w:rsidRPr="0083047F">
        <w:rPr>
          <w:rFonts w:ascii="Arial" w:hAnsi="Arial" w:cs="Arial"/>
          <w:b/>
          <w:sz w:val="22"/>
          <w:szCs w:val="22"/>
        </w:rPr>
        <w:t>neustále roste, ceny za datové služby výrazně klesají</w:t>
      </w:r>
      <w:r w:rsidR="00825F0F">
        <w:rPr>
          <w:rFonts w:ascii="Arial" w:hAnsi="Arial" w:cs="Arial"/>
          <w:b/>
          <w:sz w:val="22"/>
          <w:szCs w:val="22"/>
        </w:rPr>
        <w:t>, a to</w:t>
      </w:r>
      <w:r w:rsidR="005F73BF" w:rsidRPr="0083047F">
        <w:rPr>
          <w:rFonts w:ascii="Arial" w:hAnsi="Arial" w:cs="Arial"/>
          <w:b/>
          <w:sz w:val="22"/>
          <w:szCs w:val="22"/>
        </w:rPr>
        <w:t xml:space="preserve"> jak na maloobchodním, tak </w:t>
      </w:r>
      <w:r w:rsidR="00825F0F">
        <w:rPr>
          <w:rFonts w:ascii="Arial" w:hAnsi="Arial" w:cs="Arial"/>
          <w:b/>
          <w:sz w:val="22"/>
          <w:szCs w:val="22"/>
        </w:rPr>
        <w:t xml:space="preserve">i </w:t>
      </w:r>
      <w:r w:rsidR="005F73BF" w:rsidRPr="0083047F">
        <w:rPr>
          <w:rFonts w:ascii="Arial" w:hAnsi="Arial" w:cs="Arial"/>
          <w:b/>
          <w:sz w:val="22"/>
          <w:szCs w:val="22"/>
        </w:rPr>
        <w:t>na velkoobchodním trhu a ARPU je v České republice výrazně nižší než průměr zemí EHP při srovnatelné spotřebě</w:t>
      </w:r>
      <w:r w:rsidRPr="0083047F">
        <w:rPr>
          <w:rFonts w:ascii="Arial" w:hAnsi="Arial" w:cs="Arial"/>
          <w:b/>
          <w:sz w:val="22"/>
          <w:szCs w:val="22"/>
        </w:rPr>
        <w:t xml:space="preserve"> (se zohledněním připomínky ke srovnání za data roku 2016). </w:t>
      </w:r>
      <w:r w:rsidR="00214D0D" w:rsidRPr="0083047F">
        <w:rPr>
          <w:rFonts w:ascii="Arial" w:hAnsi="Arial" w:cs="Arial"/>
          <w:b/>
          <w:sz w:val="22"/>
          <w:szCs w:val="22"/>
        </w:rPr>
        <w:t xml:space="preserve">ČTÚ </w:t>
      </w:r>
      <w:r w:rsidR="005F73BF" w:rsidRPr="0083047F">
        <w:rPr>
          <w:rFonts w:ascii="Arial" w:hAnsi="Arial" w:cs="Arial"/>
          <w:b/>
          <w:sz w:val="22"/>
          <w:szCs w:val="22"/>
        </w:rPr>
        <w:t xml:space="preserve">dále neshledal žádné další překážky rozvoje hospodářské soutěže na relevantním trhu. Z výše uvedeného vyplývá, že kritérium č. 2 nemohlo být </w:t>
      </w:r>
      <w:r w:rsidR="00214D0D" w:rsidRPr="0083047F">
        <w:rPr>
          <w:rFonts w:ascii="Arial" w:hAnsi="Arial" w:cs="Arial"/>
          <w:b/>
          <w:sz w:val="22"/>
          <w:szCs w:val="22"/>
        </w:rPr>
        <w:t xml:space="preserve">v žádném případě </w:t>
      </w:r>
      <w:r w:rsidR="005F73BF" w:rsidRPr="0083047F">
        <w:rPr>
          <w:rFonts w:ascii="Arial" w:hAnsi="Arial" w:cs="Arial"/>
          <w:b/>
          <w:sz w:val="22"/>
          <w:szCs w:val="22"/>
        </w:rPr>
        <w:t xml:space="preserve">splněno. </w:t>
      </w:r>
    </w:p>
    <w:p w14:paraId="0623AFA4" w14:textId="77777777" w:rsidR="004631BF" w:rsidRDefault="004631BF" w:rsidP="0002467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CF34A65" w14:textId="2D9F5A15" w:rsidR="004631BF" w:rsidRDefault="004631BF" w:rsidP="004631BF">
      <w:pPr>
        <w:ind w:left="360"/>
        <w:jc w:val="both"/>
        <w:rPr>
          <w:rFonts w:ascii="Arial" w:hAnsi="Arial" w:cs="Arial"/>
          <w:sz w:val="22"/>
          <w:szCs w:val="22"/>
        </w:rPr>
      </w:pPr>
      <w:r w:rsidRPr="00E07791">
        <w:rPr>
          <w:rFonts w:ascii="Arial" w:hAnsi="Arial" w:cs="Arial"/>
          <w:sz w:val="22"/>
          <w:szCs w:val="22"/>
        </w:rPr>
        <w:t>Nadprůměrně vysoký počet subjektů poskytující</w:t>
      </w:r>
      <w:r w:rsidR="00825F0F">
        <w:rPr>
          <w:rFonts w:ascii="Arial" w:hAnsi="Arial" w:cs="Arial"/>
          <w:sz w:val="22"/>
          <w:szCs w:val="22"/>
        </w:rPr>
        <w:t>ch</w:t>
      </w:r>
      <w:r w:rsidRPr="00E07791">
        <w:rPr>
          <w:rFonts w:ascii="Arial" w:hAnsi="Arial" w:cs="Arial"/>
          <w:sz w:val="22"/>
          <w:szCs w:val="22"/>
        </w:rPr>
        <w:t xml:space="preserve"> mobilní služby, který dlouhodobě roste a posilování tržního podílu MVNO je velmi silným indikátorem o profitabilitě těchto subjektů a o neexistenci zabraňujících bariér vstupu na trh. (</w:t>
      </w:r>
      <w:r w:rsidR="00931944">
        <w:rPr>
          <w:rFonts w:ascii="Arial" w:hAnsi="Arial" w:cs="Arial"/>
          <w:sz w:val="22"/>
          <w:szCs w:val="22"/>
        </w:rPr>
        <w:t xml:space="preserve">viz </w:t>
      </w:r>
      <w:r w:rsidRPr="00E07791">
        <w:rPr>
          <w:rFonts w:ascii="Arial" w:hAnsi="Arial" w:cs="Arial"/>
          <w:sz w:val="22"/>
          <w:szCs w:val="22"/>
        </w:rPr>
        <w:t>str. 45)</w:t>
      </w:r>
    </w:p>
    <w:p w14:paraId="3341A524" w14:textId="77777777" w:rsidR="007D13AE" w:rsidRDefault="007D13AE" w:rsidP="00E86927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5B3DA61" w14:textId="6E1F0ED8" w:rsidR="007D13AE" w:rsidRDefault="00825F0F" w:rsidP="0002467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ČTÚ </w:t>
      </w:r>
      <w:r w:rsidR="005F73BF">
        <w:rPr>
          <w:rFonts w:ascii="Arial" w:hAnsi="Arial" w:cs="Arial"/>
          <w:sz w:val="22"/>
          <w:szCs w:val="22"/>
        </w:rPr>
        <w:t>v závěru argumentuje existencí šedých operátorů, kteří jak již bylo uvedeno výše</w:t>
      </w:r>
      <w:r w:rsidR="007D13AE">
        <w:rPr>
          <w:rFonts w:ascii="Arial" w:hAnsi="Arial" w:cs="Arial"/>
          <w:sz w:val="22"/>
          <w:szCs w:val="22"/>
        </w:rPr>
        <w:t>,</w:t>
      </w:r>
      <w:r w:rsidR="005F73BF">
        <w:rPr>
          <w:rFonts w:ascii="Arial" w:hAnsi="Arial" w:cs="Arial"/>
          <w:sz w:val="22"/>
          <w:szCs w:val="22"/>
        </w:rPr>
        <w:t xml:space="preserve"> nemohou být důvodem pro ex ante</w:t>
      </w:r>
      <w:r w:rsidR="007D13AE">
        <w:rPr>
          <w:rFonts w:ascii="Arial" w:hAnsi="Arial" w:cs="Arial"/>
          <w:sz w:val="22"/>
          <w:szCs w:val="22"/>
        </w:rPr>
        <w:t xml:space="preserve"> regulaci relevantního trhu, ale pouze</w:t>
      </w:r>
      <w:r w:rsidR="00600766">
        <w:rPr>
          <w:rFonts w:ascii="Arial" w:hAnsi="Arial" w:cs="Arial"/>
          <w:sz w:val="22"/>
          <w:szCs w:val="22"/>
        </w:rPr>
        <w:t xml:space="preserve"> důvodem</w:t>
      </w:r>
      <w:r w:rsidR="007D13AE">
        <w:rPr>
          <w:rFonts w:ascii="Arial" w:hAnsi="Arial" w:cs="Arial"/>
          <w:sz w:val="22"/>
          <w:szCs w:val="22"/>
        </w:rPr>
        <w:t xml:space="preserve"> pro aktivní</w:t>
      </w:r>
      <w:r w:rsidR="00600766">
        <w:rPr>
          <w:rFonts w:ascii="Arial" w:hAnsi="Arial" w:cs="Arial"/>
          <w:sz w:val="22"/>
          <w:szCs w:val="22"/>
        </w:rPr>
        <w:t xml:space="preserve"> a konkrétní </w:t>
      </w:r>
      <w:r w:rsidR="007D13AE">
        <w:rPr>
          <w:rFonts w:ascii="Arial" w:hAnsi="Arial" w:cs="Arial"/>
          <w:sz w:val="22"/>
          <w:szCs w:val="22"/>
        </w:rPr>
        <w:t xml:space="preserve">činnost </w:t>
      </w:r>
      <w:r>
        <w:rPr>
          <w:rFonts w:ascii="Arial" w:hAnsi="Arial" w:cs="Arial"/>
          <w:sz w:val="22"/>
          <w:szCs w:val="22"/>
        </w:rPr>
        <w:t xml:space="preserve">ČTÚ </w:t>
      </w:r>
      <w:r w:rsidR="007D13AE">
        <w:rPr>
          <w:rFonts w:ascii="Arial" w:hAnsi="Arial" w:cs="Arial"/>
          <w:sz w:val="22"/>
          <w:szCs w:val="22"/>
        </w:rPr>
        <w:t xml:space="preserve">při řešení jejich neoprávněné existence </w:t>
      </w:r>
      <w:r w:rsidR="0039353B">
        <w:rPr>
          <w:rFonts w:ascii="Arial" w:hAnsi="Arial" w:cs="Arial"/>
          <w:sz w:val="22"/>
          <w:szCs w:val="22"/>
        </w:rPr>
        <w:t xml:space="preserve">a působení </w:t>
      </w:r>
      <w:r w:rsidR="007D13AE">
        <w:rPr>
          <w:rFonts w:ascii="Arial" w:hAnsi="Arial" w:cs="Arial"/>
          <w:sz w:val="22"/>
          <w:szCs w:val="22"/>
        </w:rPr>
        <w:t xml:space="preserve">na trhu. </w:t>
      </w:r>
    </w:p>
    <w:p w14:paraId="1BBD7EDF" w14:textId="77777777" w:rsidR="007D13AE" w:rsidRDefault="007D13AE" w:rsidP="00E86927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04DE6C87" w14:textId="4EF039B1" w:rsidR="004631BF" w:rsidRDefault="007D13AE" w:rsidP="00024677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Argument </w:t>
      </w:r>
      <w:proofErr w:type="spellStart"/>
      <w:r>
        <w:rPr>
          <w:rFonts w:ascii="Arial" w:hAnsi="Arial" w:cs="Arial"/>
          <w:sz w:val="22"/>
          <w:szCs w:val="22"/>
        </w:rPr>
        <w:t>nereplikovatelnosti</w:t>
      </w:r>
      <w:proofErr w:type="spellEnd"/>
      <w:r>
        <w:rPr>
          <w:rFonts w:ascii="Arial" w:hAnsi="Arial" w:cs="Arial"/>
          <w:sz w:val="22"/>
          <w:szCs w:val="22"/>
        </w:rPr>
        <w:t xml:space="preserve"> nabídek je </w:t>
      </w:r>
      <w:r w:rsidR="00B13681">
        <w:rPr>
          <w:rFonts w:ascii="Arial" w:hAnsi="Arial" w:cs="Arial"/>
          <w:sz w:val="22"/>
          <w:szCs w:val="22"/>
        </w:rPr>
        <w:t xml:space="preserve">opět </w:t>
      </w:r>
      <w:r>
        <w:rPr>
          <w:rFonts w:ascii="Arial" w:hAnsi="Arial" w:cs="Arial"/>
          <w:sz w:val="22"/>
          <w:szCs w:val="22"/>
        </w:rPr>
        <w:t>v </w:t>
      </w:r>
      <w:r w:rsidR="009511B3">
        <w:rPr>
          <w:rFonts w:ascii="Arial" w:hAnsi="Arial" w:cs="Arial"/>
          <w:sz w:val="22"/>
          <w:szCs w:val="22"/>
        </w:rPr>
        <w:t>rozporu</w:t>
      </w:r>
      <w:r>
        <w:rPr>
          <w:rFonts w:ascii="Arial" w:hAnsi="Arial" w:cs="Arial"/>
          <w:sz w:val="22"/>
          <w:szCs w:val="22"/>
        </w:rPr>
        <w:t xml:space="preserve"> s</w:t>
      </w:r>
      <w:r w:rsidR="00825F0F">
        <w:rPr>
          <w:rFonts w:ascii="Arial" w:hAnsi="Arial" w:cs="Arial"/>
          <w:sz w:val="22"/>
          <w:szCs w:val="22"/>
        </w:rPr>
        <w:t xml:space="preserve"> ČTÚ </w:t>
      </w:r>
      <w:r w:rsidR="00B13681">
        <w:rPr>
          <w:rFonts w:ascii="Arial" w:hAnsi="Arial" w:cs="Arial"/>
          <w:sz w:val="22"/>
          <w:szCs w:val="22"/>
        </w:rPr>
        <w:t xml:space="preserve">provedenou </w:t>
      </w:r>
      <w:r w:rsidR="00825F0F">
        <w:rPr>
          <w:rFonts w:ascii="Arial" w:hAnsi="Arial" w:cs="Arial"/>
          <w:sz w:val="22"/>
          <w:szCs w:val="22"/>
        </w:rPr>
        <w:t xml:space="preserve">vlastní </w:t>
      </w:r>
      <w:r w:rsidR="00B13681">
        <w:rPr>
          <w:rFonts w:ascii="Arial" w:hAnsi="Arial" w:cs="Arial"/>
          <w:sz w:val="22"/>
          <w:szCs w:val="22"/>
        </w:rPr>
        <w:t>analýzou. Z</w:t>
      </w:r>
      <w:r w:rsidR="00825F0F">
        <w:rPr>
          <w:rFonts w:ascii="Arial" w:hAnsi="Arial" w:cs="Arial"/>
          <w:sz w:val="22"/>
          <w:szCs w:val="22"/>
        </w:rPr>
        <w:t xml:space="preserve"> této </w:t>
      </w:r>
      <w:r w:rsidR="00B13681">
        <w:rPr>
          <w:rFonts w:ascii="Arial" w:hAnsi="Arial" w:cs="Arial"/>
          <w:sz w:val="22"/>
          <w:szCs w:val="22"/>
        </w:rPr>
        <w:t xml:space="preserve">analýzy naopak vyplývá, že je na trhu velké množství MVNO s rostoucím trendem jak v počtu, tak v tržním podílu a tito MVNO mají velké možnosti ve vyjednávání. O tom svědčí mimo jiné provedená analýza na stranách 4-16, </w:t>
      </w:r>
      <w:r w:rsidR="00205027">
        <w:rPr>
          <w:rFonts w:ascii="Arial" w:hAnsi="Arial" w:cs="Arial"/>
          <w:sz w:val="22"/>
          <w:szCs w:val="22"/>
        </w:rPr>
        <w:t xml:space="preserve">kde </w:t>
      </w:r>
      <w:r w:rsidR="00825F0F">
        <w:rPr>
          <w:rFonts w:ascii="Arial" w:hAnsi="Arial" w:cs="Arial"/>
          <w:sz w:val="22"/>
          <w:szCs w:val="22"/>
        </w:rPr>
        <w:t>se ukazu</w:t>
      </w:r>
      <w:r w:rsidR="00205027">
        <w:rPr>
          <w:rFonts w:ascii="Arial" w:hAnsi="Arial" w:cs="Arial"/>
          <w:sz w:val="22"/>
          <w:szCs w:val="22"/>
        </w:rPr>
        <w:t>je</w:t>
      </w:r>
      <w:r w:rsidR="00B13681">
        <w:rPr>
          <w:rFonts w:ascii="Arial" w:hAnsi="Arial" w:cs="Arial"/>
          <w:sz w:val="22"/>
          <w:szCs w:val="22"/>
        </w:rPr>
        <w:t xml:space="preserve">, že MVNO </w:t>
      </w:r>
      <w:r w:rsidR="00205027" w:rsidRPr="00B13681">
        <w:rPr>
          <w:rFonts w:ascii="Arial" w:hAnsi="Arial" w:cs="Arial"/>
          <w:sz w:val="22"/>
          <w:szCs w:val="22"/>
        </w:rPr>
        <w:t xml:space="preserve">mají </w:t>
      </w:r>
      <w:r w:rsidR="00B13681" w:rsidRPr="00B13681">
        <w:rPr>
          <w:rFonts w:ascii="Arial" w:hAnsi="Arial" w:cs="Arial"/>
          <w:sz w:val="22"/>
          <w:szCs w:val="22"/>
        </w:rPr>
        <w:t>u řady služe</w:t>
      </w:r>
      <w:r w:rsidR="00B13681">
        <w:rPr>
          <w:rFonts w:ascii="Arial" w:hAnsi="Arial" w:cs="Arial"/>
          <w:sz w:val="22"/>
          <w:szCs w:val="22"/>
        </w:rPr>
        <w:t xml:space="preserve">b nižší jednotkové ceny než </w:t>
      </w:r>
      <w:r w:rsidR="00205027">
        <w:rPr>
          <w:rFonts w:ascii="Arial" w:hAnsi="Arial" w:cs="Arial"/>
          <w:sz w:val="22"/>
          <w:szCs w:val="22"/>
        </w:rPr>
        <w:t xml:space="preserve">samotní </w:t>
      </w:r>
      <w:r w:rsidR="00B13681">
        <w:rPr>
          <w:rFonts w:ascii="Arial" w:hAnsi="Arial" w:cs="Arial"/>
          <w:sz w:val="22"/>
          <w:szCs w:val="22"/>
        </w:rPr>
        <w:t>MNO.</w:t>
      </w:r>
      <w:r w:rsidR="004631BF">
        <w:rPr>
          <w:rFonts w:ascii="Arial" w:hAnsi="Arial" w:cs="Arial"/>
          <w:sz w:val="22"/>
          <w:szCs w:val="22"/>
        </w:rPr>
        <w:t xml:space="preserve"> </w:t>
      </w:r>
      <w:r w:rsidR="004631BF" w:rsidRPr="004631BF">
        <w:rPr>
          <w:rFonts w:ascii="Arial" w:hAnsi="Arial" w:cs="Arial"/>
          <w:sz w:val="22"/>
          <w:szCs w:val="22"/>
        </w:rPr>
        <w:t>Jak vyplývá z dat na straně 52-53, dochází na relevantním trhu k výraznému poklesu cen</w:t>
      </w:r>
      <w:r w:rsidR="00205027">
        <w:rPr>
          <w:rFonts w:ascii="Arial" w:hAnsi="Arial" w:cs="Arial"/>
          <w:sz w:val="22"/>
          <w:szCs w:val="22"/>
        </w:rPr>
        <w:t>,</w:t>
      </w:r>
      <w:r w:rsidR="004631BF" w:rsidRPr="004631BF">
        <w:rPr>
          <w:rFonts w:ascii="Arial" w:hAnsi="Arial" w:cs="Arial"/>
          <w:sz w:val="22"/>
          <w:szCs w:val="22"/>
        </w:rPr>
        <w:t xml:space="preserve"> a to </w:t>
      </w:r>
      <w:r w:rsidR="00205027">
        <w:rPr>
          <w:rFonts w:ascii="Arial" w:hAnsi="Arial" w:cs="Arial"/>
          <w:sz w:val="22"/>
          <w:szCs w:val="22"/>
        </w:rPr>
        <w:t xml:space="preserve">současně s </w:t>
      </w:r>
      <w:r w:rsidR="004631BF" w:rsidRPr="004631BF">
        <w:rPr>
          <w:rFonts w:ascii="Arial" w:hAnsi="Arial" w:cs="Arial"/>
          <w:sz w:val="22"/>
          <w:szCs w:val="22"/>
        </w:rPr>
        <w:t>výrazn</w:t>
      </w:r>
      <w:r w:rsidR="00205027">
        <w:rPr>
          <w:rFonts w:ascii="Arial" w:hAnsi="Arial" w:cs="Arial"/>
          <w:sz w:val="22"/>
          <w:szCs w:val="22"/>
        </w:rPr>
        <w:t>ým</w:t>
      </w:r>
      <w:r w:rsidR="004631BF" w:rsidRPr="004631BF">
        <w:rPr>
          <w:rFonts w:ascii="Arial" w:hAnsi="Arial" w:cs="Arial"/>
          <w:sz w:val="22"/>
          <w:szCs w:val="22"/>
        </w:rPr>
        <w:t xml:space="preserve"> zlepšování</w:t>
      </w:r>
      <w:r w:rsidR="00205027">
        <w:rPr>
          <w:rFonts w:ascii="Arial" w:hAnsi="Arial" w:cs="Arial"/>
          <w:sz w:val="22"/>
          <w:szCs w:val="22"/>
        </w:rPr>
        <w:t>m</w:t>
      </w:r>
      <w:r w:rsidR="004631BF" w:rsidRPr="004631BF">
        <w:rPr>
          <w:rFonts w:ascii="Arial" w:hAnsi="Arial" w:cs="Arial"/>
          <w:sz w:val="22"/>
          <w:szCs w:val="22"/>
        </w:rPr>
        <w:t xml:space="preserve"> služeb, ať už z pohledu velice kvalitního pokrytí, tak neustálého </w:t>
      </w:r>
      <w:r w:rsidR="00205027">
        <w:rPr>
          <w:rFonts w:ascii="Arial" w:hAnsi="Arial" w:cs="Arial"/>
          <w:sz w:val="22"/>
          <w:szCs w:val="22"/>
        </w:rPr>
        <w:t xml:space="preserve">výrazného </w:t>
      </w:r>
      <w:r w:rsidR="004631BF" w:rsidRPr="004631BF">
        <w:rPr>
          <w:rFonts w:ascii="Arial" w:hAnsi="Arial" w:cs="Arial"/>
          <w:sz w:val="22"/>
          <w:szCs w:val="22"/>
        </w:rPr>
        <w:t xml:space="preserve">zrychlování internetu v mobilní síti. Za posledních 5 let pak podle dat </w:t>
      </w:r>
      <w:r w:rsidR="00205027">
        <w:rPr>
          <w:rFonts w:ascii="Arial" w:hAnsi="Arial" w:cs="Arial"/>
          <w:sz w:val="22"/>
          <w:szCs w:val="22"/>
        </w:rPr>
        <w:t xml:space="preserve">ČTÚ </w:t>
      </w:r>
      <w:r w:rsidR="004631BF" w:rsidRPr="004631BF">
        <w:rPr>
          <w:rFonts w:ascii="Arial" w:hAnsi="Arial" w:cs="Arial"/>
          <w:sz w:val="22"/>
          <w:szCs w:val="22"/>
        </w:rPr>
        <w:t>klesla cena za 1 MB datového provozu o 75 % i při prudce se zvyšující poptávce po této službě</w:t>
      </w:r>
      <w:r w:rsidR="00205027">
        <w:rPr>
          <w:rFonts w:ascii="Arial" w:hAnsi="Arial" w:cs="Arial"/>
          <w:sz w:val="22"/>
          <w:szCs w:val="22"/>
        </w:rPr>
        <w:t xml:space="preserve"> (spotřebě mobilních dat)</w:t>
      </w:r>
      <w:r w:rsidR="004631BF" w:rsidRPr="004631BF">
        <w:rPr>
          <w:rFonts w:ascii="Arial" w:hAnsi="Arial" w:cs="Arial"/>
          <w:sz w:val="22"/>
          <w:szCs w:val="22"/>
        </w:rPr>
        <w:t>, což svědčí o velice dobře fungující konkurenci. Stejně tak výsledné ARPU je výrazně pod průměrem Evropské unie, z čehož vyplývá, že reálné ceny</w:t>
      </w:r>
      <w:r w:rsidR="0039353B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C1097F">
        <w:rPr>
          <w:rFonts w:ascii="Arial" w:hAnsi="Arial" w:cs="Arial"/>
          <w:sz w:val="22"/>
          <w:szCs w:val="22"/>
        </w:rPr>
        <w:t xml:space="preserve"> </w:t>
      </w:r>
      <w:r w:rsidR="004631BF" w:rsidRPr="004631BF">
        <w:rPr>
          <w:rFonts w:ascii="Arial" w:hAnsi="Arial" w:cs="Arial"/>
          <w:sz w:val="22"/>
          <w:szCs w:val="22"/>
        </w:rPr>
        <w:t xml:space="preserve">nejsou v České republice </w:t>
      </w:r>
      <w:r w:rsidR="00C1097F">
        <w:rPr>
          <w:rFonts w:ascii="Arial" w:hAnsi="Arial" w:cs="Arial"/>
          <w:sz w:val="22"/>
          <w:szCs w:val="22"/>
        </w:rPr>
        <w:t xml:space="preserve">příliš </w:t>
      </w:r>
      <w:r w:rsidR="004631BF" w:rsidRPr="004631BF">
        <w:rPr>
          <w:rFonts w:ascii="Arial" w:hAnsi="Arial" w:cs="Arial"/>
          <w:sz w:val="22"/>
          <w:szCs w:val="22"/>
        </w:rPr>
        <w:t xml:space="preserve">vysoké a ani z tohoto pohledu </w:t>
      </w:r>
      <w:r w:rsidR="00986EE6">
        <w:rPr>
          <w:rFonts w:ascii="Arial" w:hAnsi="Arial" w:cs="Arial"/>
          <w:sz w:val="22"/>
          <w:szCs w:val="22"/>
        </w:rPr>
        <w:t xml:space="preserve">tedy </w:t>
      </w:r>
      <w:r w:rsidR="004631BF" w:rsidRPr="004631BF">
        <w:rPr>
          <w:rFonts w:ascii="Arial" w:hAnsi="Arial" w:cs="Arial"/>
          <w:sz w:val="22"/>
          <w:szCs w:val="22"/>
        </w:rPr>
        <w:t xml:space="preserve">není k ex ante regulaci žádný důvod. </w:t>
      </w:r>
      <w:r w:rsidR="00C1097F">
        <w:rPr>
          <w:rFonts w:ascii="Arial" w:hAnsi="Arial" w:cs="Arial"/>
          <w:sz w:val="22"/>
          <w:szCs w:val="22"/>
        </w:rPr>
        <w:t>Jak již bylo uvedeno výše, r</w:t>
      </w:r>
      <w:r w:rsidR="004631BF" w:rsidRPr="004631BF">
        <w:rPr>
          <w:rFonts w:ascii="Arial" w:hAnsi="Arial" w:cs="Arial"/>
          <w:sz w:val="22"/>
          <w:szCs w:val="22"/>
        </w:rPr>
        <w:t>ozdíl mezi segmentem domácností a firem je</w:t>
      </w:r>
      <w:r w:rsidR="0039353B">
        <w:rPr>
          <w:rFonts w:ascii="Arial" w:hAnsi="Arial" w:cs="Arial"/>
          <w:sz w:val="22"/>
          <w:szCs w:val="22"/>
        </w:rPr>
        <w:t xml:space="preserve"> v sektoru elektronických komunikací</w:t>
      </w:r>
      <w:r w:rsidR="004631BF" w:rsidRPr="004631BF">
        <w:rPr>
          <w:rFonts w:ascii="Arial" w:hAnsi="Arial" w:cs="Arial"/>
          <w:sz w:val="22"/>
          <w:szCs w:val="22"/>
        </w:rPr>
        <w:t xml:space="preserve"> naprosto běžnou součástí trhů </w:t>
      </w:r>
      <w:r w:rsidR="00D055DA">
        <w:rPr>
          <w:rFonts w:ascii="Arial" w:hAnsi="Arial" w:cs="Arial"/>
          <w:sz w:val="22"/>
          <w:szCs w:val="22"/>
        </w:rPr>
        <w:t xml:space="preserve">v celé </w:t>
      </w:r>
      <w:r w:rsidR="004631BF" w:rsidRPr="004631BF">
        <w:rPr>
          <w:rFonts w:ascii="Arial" w:hAnsi="Arial" w:cs="Arial"/>
          <w:sz w:val="22"/>
          <w:szCs w:val="22"/>
        </w:rPr>
        <w:t xml:space="preserve">světové ekonomice. Graf č. 37 pak prezentuje pokles cen za datový provoz také na velkoobchodním trhu, což opět značí fungující konkurenci na relevantním </w:t>
      </w:r>
      <w:r w:rsidR="004631BF">
        <w:rPr>
          <w:rFonts w:ascii="Arial" w:hAnsi="Arial" w:cs="Arial"/>
          <w:sz w:val="22"/>
          <w:szCs w:val="22"/>
        </w:rPr>
        <w:t>trhu.</w:t>
      </w:r>
    </w:p>
    <w:p w14:paraId="6ACE4AE6" w14:textId="77777777" w:rsidR="004631BF" w:rsidRDefault="004631BF" w:rsidP="00024677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862BFB2" w14:textId="45ADC0E7" w:rsidR="004631BF" w:rsidRPr="008E3F7E" w:rsidRDefault="004631BF" w:rsidP="00024677">
      <w:pPr>
        <w:ind w:left="357"/>
        <w:jc w:val="both"/>
        <w:rPr>
          <w:rFonts w:ascii="Arial" w:hAnsi="Arial" w:cs="Arial"/>
          <w:sz w:val="22"/>
          <w:szCs w:val="22"/>
        </w:rPr>
      </w:pPr>
      <w:r w:rsidRPr="004631BF">
        <w:rPr>
          <w:rFonts w:ascii="Arial" w:hAnsi="Arial" w:cs="Arial"/>
          <w:sz w:val="22"/>
          <w:szCs w:val="22"/>
        </w:rPr>
        <w:t>Během posledních měsíců</w:t>
      </w:r>
      <w:r w:rsidR="00C1097F">
        <w:rPr>
          <w:rFonts w:ascii="Arial" w:hAnsi="Arial" w:cs="Arial"/>
          <w:sz w:val="22"/>
          <w:szCs w:val="22"/>
        </w:rPr>
        <w:t>,</w:t>
      </w:r>
      <w:r w:rsidRPr="004631BF">
        <w:rPr>
          <w:rFonts w:ascii="Arial" w:hAnsi="Arial" w:cs="Arial"/>
          <w:sz w:val="22"/>
          <w:szCs w:val="22"/>
        </w:rPr>
        <w:t xml:space="preserve"> a to včetně doby po zveřejnění návrhu testu tří kritérií pro Trh mobilních služeb</w:t>
      </w:r>
      <w:r w:rsidR="00C1097F">
        <w:rPr>
          <w:rFonts w:ascii="Arial" w:hAnsi="Arial" w:cs="Arial"/>
          <w:sz w:val="22"/>
          <w:szCs w:val="22"/>
        </w:rPr>
        <w:t>,</w:t>
      </w:r>
      <w:r w:rsidRPr="004631BF">
        <w:rPr>
          <w:rFonts w:ascii="Arial" w:hAnsi="Arial" w:cs="Arial"/>
          <w:sz w:val="22"/>
          <w:szCs w:val="22"/>
        </w:rPr>
        <w:t xml:space="preserve"> došlo jak u MNO, tak u MVNO k</w:t>
      </w:r>
      <w:r w:rsidR="00C1097F">
        <w:rPr>
          <w:rFonts w:ascii="Arial" w:hAnsi="Arial" w:cs="Arial"/>
          <w:sz w:val="22"/>
          <w:szCs w:val="22"/>
        </w:rPr>
        <w:t xml:space="preserve"> dalším </w:t>
      </w:r>
      <w:r w:rsidRPr="004631BF">
        <w:rPr>
          <w:rFonts w:ascii="Arial" w:hAnsi="Arial" w:cs="Arial"/>
          <w:sz w:val="22"/>
          <w:szCs w:val="22"/>
        </w:rPr>
        <w:t>významným změnám v jejich cenových nabídkách</w:t>
      </w:r>
      <w:r w:rsidR="00C1097F">
        <w:rPr>
          <w:rFonts w:ascii="Arial" w:hAnsi="Arial" w:cs="Arial"/>
          <w:sz w:val="22"/>
          <w:szCs w:val="22"/>
        </w:rPr>
        <w:t>, které by měl ČTÚ rozhodně vzít v úvahu.</w:t>
      </w:r>
      <w:r w:rsidRPr="004631BF">
        <w:rPr>
          <w:rFonts w:ascii="Arial" w:hAnsi="Arial" w:cs="Arial"/>
          <w:sz w:val="22"/>
          <w:szCs w:val="22"/>
        </w:rPr>
        <w:t xml:space="preserve"> To svědčí o velké dynamice trhu a </w:t>
      </w:r>
      <w:r w:rsidRPr="008E3F7E">
        <w:rPr>
          <w:rFonts w:ascii="Arial" w:hAnsi="Arial" w:cs="Arial"/>
          <w:b/>
          <w:sz w:val="22"/>
          <w:szCs w:val="22"/>
        </w:rPr>
        <w:t>odporuje to závěru testu</w:t>
      </w:r>
      <w:r w:rsidRPr="004631BF">
        <w:rPr>
          <w:rFonts w:ascii="Arial" w:hAnsi="Arial" w:cs="Arial"/>
          <w:sz w:val="22"/>
          <w:szCs w:val="22"/>
        </w:rPr>
        <w:t xml:space="preserve"> o tom, že </w:t>
      </w:r>
      <w:r w:rsidRPr="008E3F7E">
        <w:rPr>
          <w:rFonts w:ascii="Arial" w:hAnsi="Arial" w:cs="Arial"/>
          <w:i/>
          <w:sz w:val="22"/>
          <w:szCs w:val="22"/>
        </w:rPr>
        <w:t>„na maloobchodním i velkoobchodním trhu neprobíhá efektivní hospodářská soutěž zejména na segmentu rezidentních zákazníků a že právo hospodářské soutěže není dostatečné pro odstranění nalezených problémů.“</w:t>
      </w:r>
      <w:r w:rsidR="008E3F7E">
        <w:rPr>
          <w:rFonts w:ascii="Arial" w:hAnsi="Arial" w:cs="Arial"/>
          <w:i/>
          <w:sz w:val="22"/>
          <w:szCs w:val="22"/>
        </w:rPr>
        <w:t xml:space="preserve"> </w:t>
      </w:r>
    </w:p>
    <w:p w14:paraId="23A20E8C" w14:textId="77777777" w:rsidR="004631BF" w:rsidRDefault="004631BF" w:rsidP="00024677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16F68822" w14:textId="37B45665" w:rsidR="00D055DA" w:rsidRDefault="004631BF" w:rsidP="004631B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příklad dynamického fungování konkurence na trhu mobilních dat lze například považovat nabídku v novém ceníku MVNO </w:t>
      </w:r>
      <w:proofErr w:type="spellStart"/>
      <w:r>
        <w:rPr>
          <w:rFonts w:ascii="Arial" w:hAnsi="Arial" w:cs="Arial"/>
          <w:sz w:val="22"/>
          <w:szCs w:val="22"/>
        </w:rPr>
        <w:t>Emtéčko</w:t>
      </w:r>
      <w:proofErr w:type="spellEnd"/>
      <w:r>
        <w:rPr>
          <w:rFonts w:ascii="Arial" w:hAnsi="Arial" w:cs="Arial"/>
          <w:sz w:val="22"/>
          <w:szCs w:val="22"/>
        </w:rPr>
        <w:t>, který vstupuje v účinnost dne 4.</w:t>
      </w:r>
      <w:r w:rsidR="00986EE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11.</w:t>
      </w:r>
      <w:r w:rsidR="00986EE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2017:</w:t>
      </w:r>
      <w:r w:rsidR="00986EE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74D9C">
          <w:rPr>
            <w:rStyle w:val="Hypertextovodkaz"/>
            <w:rFonts w:ascii="Arial" w:hAnsi="Arial" w:cs="Arial"/>
            <w:sz w:val="22"/>
            <w:szCs w:val="22"/>
          </w:rPr>
          <w:t>https://www.emtecko.cz/trz/dokumenty/_cen_zame_4_11_2017.pdf</w:t>
        </w:r>
      </w:hyperlink>
      <w:r w:rsidR="008E3F7E">
        <w:rPr>
          <w:rFonts w:ascii="Arial" w:hAnsi="Arial" w:cs="Arial"/>
          <w:sz w:val="22"/>
          <w:szCs w:val="22"/>
        </w:rPr>
        <w:t xml:space="preserve">. </w:t>
      </w:r>
    </w:p>
    <w:p w14:paraId="08B1126A" w14:textId="505ED54E" w:rsidR="004631BF" w:rsidRDefault="00C1097F" w:rsidP="004631B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Tato nabídka </w:t>
      </w:r>
      <w:r w:rsidR="001941E4">
        <w:rPr>
          <w:rFonts w:ascii="Arial" w:hAnsi="Arial" w:cs="Arial"/>
          <w:sz w:val="22"/>
          <w:szCs w:val="22"/>
        </w:rPr>
        <w:t xml:space="preserve">ze strany </w:t>
      </w:r>
      <w:r>
        <w:rPr>
          <w:rFonts w:ascii="Arial" w:hAnsi="Arial" w:cs="Arial"/>
          <w:sz w:val="22"/>
          <w:szCs w:val="22"/>
        </w:rPr>
        <w:t>MVNO určená pro rez</w:t>
      </w:r>
      <w:r w:rsidR="001941E4">
        <w:rPr>
          <w:rFonts w:ascii="Arial" w:hAnsi="Arial" w:cs="Arial"/>
          <w:sz w:val="22"/>
          <w:szCs w:val="22"/>
        </w:rPr>
        <w:t>identní segment zákazníků</w:t>
      </w:r>
      <w:r w:rsidR="00D055DA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D055DA">
        <w:rPr>
          <w:rFonts w:ascii="Arial" w:hAnsi="Arial" w:cs="Arial"/>
          <w:sz w:val="22"/>
          <w:szCs w:val="22"/>
        </w:rPr>
        <w:t xml:space="preserve"> </w:t>
      </w:r>
      <w:r w:rsidR="001941E4">
        <w:rPr>
          <w:rFonts w:ascii="Arial" w:hAnsi="Arial" w:cs="Arial"/>
          <w:sz w:val="22"/>
          <w:szCs w:val="22"/>
        </w:rPr>
        <w:t>působí při srovnání s</w:t>
      </w:r>
      <w:r w:rsidR="00D055DA">
        <w:rPr>
          <w:rFonts w:ascii="Arial" w:hAnsi="Arial" w:cs="Arial"/>
          <w:sz w:val="22"/>
          <w:szCs w:val="22"/>
        </w:rPr>
        <w:t xml:space="preserve"> ostatními </w:t>
      </w:r>
      <w:r w:rsidR="001941E4">
        <w:rPr>
          <w:rFonts w:ascii="Arial" w:hAnsi="Arial" w:cs="Arial"/>
          <w:sz w:val="22"/>
          <w:szCs w:val="22"/>
        </w:rPr>
        <w:t>nabídkami MNO na rezidentním segmentu zákazníků hned na první pohled velice atraktivně.</w:t>
      </w:r>
      <w:r>
        <w:rPr>
          <w:rFonts w:ascii="Arial" w:hAnsi="Arial" w:cs="Arial"/>
          <w:sz w:val="22"/>
          <w:szCs w:val="22"/>
        </w:rPr>
        <w:t xml:space="preserve"> </w:t>
      </w:r>
      <w:r w:rsidR="008E3F7E">
        <w:rPr>
          <w:rFonts w:ascii="Arial" w:hAnsi="Arial" w:cs="Arial"/>
          <w:sz w:val="22"/>
          <w:szCs w:val="22"/>
        </w:rPr>
        <w:t xml:space="preserve">Stejně tak </w:t>
      </w:r>
      <w:r w:rsidR="001941E4">
        <w:rPr>
          <w:rFonts w:ascii="Arial" w:hAnsi="Arial" w:cs="Arial"/>
          <w:sz w:val="22"/>
          <w:szCs w:val="22"/>
        </w:rPr>
        <w:t xml:space="preserve">můžeme uvést </w:t>
      </w:r>
      <w:r w:rsidR="008E3F7E">
        <w:rPr>
          <w:rFonts w:ascii="Arial" w:hAnsi="Arial" w:cs="Arial"/>
          <w:sz w:val="22"/>
          <w:szCs w:val="22"/>
        </w:rPr>
        <w:t>nov</w:t>
      </w:r>
      <w:r w:rsidR="001941E4">
        <w:rPr>
          <w:rFonts w:ascii="Arial" w:hAnsi="Arial" w:cs="Arial"/>
          <w:sz w:val="22"/>
          <w:szCs w:val="22"/>
        </w:rPr>
        <w:t>ou</w:t>
      </w:r>
      <w:r w:rsidR="008E3F7E">
        <w:rPr>
          <w:rFonts w:ascii="Arial" w:hAnsi="Arial" w:cs="Arial"/>
          <w:sz w:val="22"/>
          <w:szCs w:val="22"/>
        </w:rPr>
        <w:t xml:space="preserve"> nabídk</w:t>
      </w:r>
      <w:r w:rsidR="001941E4">
        <w:rPr>
          <w:rFonts w:ascii="Arial" w:hAnsi="Arial" w:cs="Arial"/>
          <w:sz w:val="22"/>
          <w:szCs w:val="22"/>
        </w:rPr>
        <w:t>u</w:t>
      </w:r>
      <w:r w:rsidR="008E3F7E">
        <w:rPr>
          <w:rFonts w:ascii="Arial" w:hAnsi="Arial" w:cs="Arial"/>
          <w:sz w:val="22"/>
          <w:szCs w:val="22"/>
        </w:rPr>
        <w:t xml:space="preserve"> datových tarifů společnosti O2 </w:t>
      </w:r>
      <w:r w:rsidR="001941E4">
        <w:rPr>
          <w:rFonts w:ascii="Arial" w:hAnsi="Arial" w:cs="Arial"/>
          <w:sz w:val="22"/>
          <w:szCs w:val="22"/>
        </w:rPr>
        <w:t xml:space="preserve">a dalšími příklady bychom mohli dále pokračovat. </w:t>
      </w:r>
      <w:r w:rsidR="008E3F7E" w:rsidRPr="008E3F7E">
        <w:rPr>
          <w:rFonts w:ascii="Arial" w:hAnsi="Arial" w:cs="Arial"/>
          <w:b/>
          <w:sz w:val="22"/>
          <w:szCs w:val="22"/>
        </w:rPr>
        <w:t xml:space="preserve">Provedený test lze tak již dnes považovat za </w:t>
      </w:r>
      <w:r w:rsidR="001941E4">
        <w:rPr>
          <w:rFonts w:ascii="Arial" w:hAnsi="Arial" w:cs="Arial"/>
          <w:b/>
          <w:sz w:val="22"/>
          <w:szCs w:val="22"/>
        </w:rPr>
        <w:t xml:space="preserve">zcela </w:t>
      </w:r>
      <w:r w:rsidR="008E3F7E">
        <w:rPr>
          <w:rFonts w:ascii="Arial" w:hAnsi="Arial" w:cs="Arial"/>
          <w:b/>
          <w:sz w:val="22"/>
          <w:szCs w:val="22"/>
        </w:rPr>
        <w:t xml:space="preserve">neaktuální a </w:t>
      </w:r>
      <w:r w:rsidR="008E3F7E" w:rsidRPr="008E3F7E">
        <w:rPr>
          <w:rFonts w:ascii="Arial" w:hAnsi="Arial" w:cs="Arial"/>
          <w:b/>
          <w:sz w:val="22"/>
          <w:szCs w:val="22"/>
        </w:rPr>
        <w:t xml:space="preserve">neodrážející </w:t>
      </w:r>
      <w:r w:rsidR="008E3F7E">
        <w:rPr>
          <w:rFonts w:ascii="Arial" w:hAnsi="Arial" w:cs="Arial"/>
          <w:b/>
          <w:sz w:val="22"/>
          <w:szCs w:val="22"/>
        </w:rPr>
        <w:t>stávající</w:t>
      </w:r>
      <w:r w:rsidR="008E3F7E" w:rsidRPr="008E3F7E">
        <w:rPr>
          <w:rFonts w:ascii="Arial" w:hAnsi="Arial" w:cs="Arial"/>
          <w:b/>
          <w:sz w:val="22"/>
          <w:szCs w:val="22"/>
        </w:rPr>
        <w:t xml:space="preserve"> situaci na </w:t>
      </w:r>
      <w:r w:rsidR="008E3F7E">
        <w:rPr>
          <w:rFonts w:ascii="Arial" w:hAnsi="Arial" w:cs="Arial"/>
          <w:b/>
          <w:sz w:val="22"/>
          <w:szCs w:val="22"/>
        </w:rPr>
        <w:t xml:space="preserve">definovaném </w:t>
      </w:r>
      <w:r w:rsidR="008E3F7E" w:rsidRPr="008E3F7E">
        <w:rPr>
          <w:rFonts w:ascii="Arial" w:hAnsi="Arial" w:cs="Arial"/>
          <w:b/>
          <w:sz w:val="22"/>
          <w:szCs w:val="22"/>
        </w:rPr>
        <w:t>trhu.</w:t>
      </w:r>
    </w:p>
    <w:p w14:paraId="58D21586" w14:textId="77777777" w:rsidR="00ED35C5" w:rsidRDefault="00ED35C5" w:rsidP="00024677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57585D67" w14:textId="77777777" w:rsidR="00D055DA" w:rsidRDefault="00D055DA" w:rsidP="00024677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0E90A51A" w14:textId="2BFAC6CD" w:rsidR="00ED35C5" w:rsidRDefault="00ED35C5" w:rsidP="00600766">
      <w:pPr>
        <w:pStyle w:val="Nadpis2"/>
        <w:ind w:left="426" w:hanging="426"/>
      </w:pPr>
      <w:r w:rsidRPr="00ED35C5">
        <w:rPr>
          <w:sz w:val="24"/>
        </w:rPr>
        <w:t xml:space="preserve">Změna </w:t>
      </w:r>
      <w:r w:rsidRPr="00265D7D">
        <w:t>závěru</w:t>
      </w:r>
      <w:r w:rsidRPr="00ED35C5">
        <w:rPr>
          <w:sz w:val="24"/>
        </w:rPr>
        <w:t xml:space="preserve"> </w:t>
      </w:r>
      <w:r w:rsidR="002D7281">
        <w:t>kritéria č. 3 - S</w:t>
      </w:r>
      <w:r w:rsidR="002D7281" w:rsidRPr="002D7281">
        <w:t>amo právo hospodářské soutěže není schopno do</w:t>
      </w:r>
      <w:r w:rsidR="002D7281">
        <w:t>statečně reagovat na uvedené selhání trhu</w:t>
      </w:r>
      <w:r w:rsidR="002C1223">
        <w:t xml:space="preserve"> – str. 69</w:t>
      </w:r>
    </w:p>
    <w:p w14:paraId="71E5894E" w14:textId="77777777" w:rsidR="00ED35C5" w:rsidRDefault="00ED35C5" w:rsidP="00ED35C5">
      <w:pPr>
        <w:pStyle w:val="Odstavecseseznamem"/>
        <w:jc w:val="both"/>
        <w:rPr>
          <w:rFonts w:ascii="Arial" w:hAnsi="Arial" w:cs="Arial"/>
          <w:b/>
        </w:rPr>
      </w:pPr>
    </w:p>
    <w:p w14:paraId="028B1520" w14:textId="77777777" w:rsidR="00ED35C5" w:rsidRPr="00024677" w:rsidRDefault="00ED35C5" w:rsidP="00ED35C5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024677">
        <w:rPr>
          <w:rFonts w:ascii="Arial" w:hAnsi="Arial" w:cs="Arial"/>
          <w:i/>
          <w:sz w:val="22"/>
          <w:szCs w:val="22"/>
        </w:rPr>
        <w:t>Návrh na doplnění, změnu, zrušení nebo nahrazení textu ustanovení návrhu opatření:</w:t>
      </w:r>
    </w:p>
    <w:p w14:paraId="1409EBD0" w14:textId="77777777" w:rsidR="002D7281" w:rsidRDefault="002D7281" w:rsidP="002D7281">
      <w:pPr>
        <w:jc w:val="both"/>
        <w:rPr>
          <w:rFonts w:ascii="Arial" w:hAnsi="Arial" w:cs="Arial"/>
          <w:b/>
          <w:sz w:val="22"/>
          <w:szCs w:val="22"/>
        </w:rPr>
      </w:pPr>
    </w:p>
    <w:p w14:paraId="7BF0816E" w14:textId="48B925C3" w:rsidR="002D7281" w:rsidRDefault="00713561" w:rsidP="002D7281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13561">
        <w:rPr>
          <w:rFonts w:ascii="Arial" w:hAnsi="Arial" w:cs="Arial"/>
          <w:b/>
          <w:sz w:val="22"/>
          <w:szCs w:val="22"/>
        </w:rPr>
        <w:t>Č</w:t>
      </w:r>
      <w:r w:rsidR="00E8536A">
        <w:rPr>
          <w:rFonts w:ascii="Arial" w:hAnsi="Arial" w:cs="Arial"/>
          <w:b/>
          <w:sz w:val="22"/>
          <w:szCs w:val="22"/>
        </w:rPr>
        <w:t>TÚ</w:t>
      </w:r>
      <w:r w:rsidR="002D7281">
        <w:rPr>
          <w:rFonts w:ascii="Arial" w:hAnsi="Arial" w:cs="Arial"/>
          <w:b/>
          <w:sz w:val="22"/>
          <w:szCs w:val="22"/>
        </w:rPr>
        <w:t xml:space="preserve"> nepředložil </w:t>
      </w:r>
      <w:r w:rsidR="00E8536A">
        <w:rPr>
          <w:rFonts w:ascii="Arial" w:hAnsi="Arial" w:cs="Arial"/>
          <w:b/>
          <w:sz w:val="22"/>
          <w:szCs w:val="22"/>
        </w:rPr>
        <w:t xml:space="preserve">jediný </w:t>
      </w:r>
      <w:r w:rsidR="002D7281">
        <w:rPr>
          <w:rFonts w:ascii="Arial" w:hAnsi="Arial" w:cs="Arial"/>
          <w:b/>
          <w:sz w:val="22"/>
          <w:szCs w:val="22"/>
        </w:rPr>
        <w:t xml:space="preserve">relevantní </w:t>
      </w:r>
      <w:r w:rsidR="00E8536A">
        <w:rPr>
          <w:rFonts w:ascii="Arial" w:hAnsi="Arial" w:cs="Arial"/>
          <w:b/>
          <w:sz w:val="22"/>
          <w:szCs w:val="22"/>
        </w:rPr>
        <w:t xml:space="preserve">důvod, který by nebyl jen pouze účelově vykonstruovaný </w:t>
      </w:r>
      <w:r w:rsidR="002D7281">
        <w:rPr>
          <w:rFonts w:ascii="Arial" w:hAnsi="Arial" w:cs="Arial"/>
          <w:b/>
          <w:sz w:val="22"/>
          <w:szCs w:val="22"/>
        </w:rPr>
        <w:t xml:space="preserve">pro </w:t>
      </w:r>
      <w:r w:rsidR="00E8536A">
        <w:rPr>
          <w:rFonts w:ascii="Arial" w:hAnsi="Arial" w:cs="Arial"/>
          <w:b/>
          <w:sz w:val="22"/>
          <w:szCs w:val="22"/>
        </w:rPr>
        <w:t xml:space="preserve">uložení </w:t>
      </w:r>
      <w:r w:rsidR="002D7281">
        <w:rPr>
          <w:rFonts w:ascii="Arial" w:hAnsi="Arial" w:cs="Arial"/>
          <w:b/>
          <w:sz w:val="22"/>
          <w:szCs w:val="22"/>
        </w:rPr>
        <w:t>ex ante regulac</w:t>
      </w:r>
      <w:r w:rsidR="00E8536A">
        <w:rPr>
          <w:rFonts w:ascii="Arial" w:hAnsi="Arial" w:cs="Arial"/>
          <w:b/>
          <w:sz w:val="22"/>
          <w:szCs w:val="22"/>
        </w:rPr>
        <w:t>e</w:t>
      </w:r>
      <w:r w:rsidR="002D7281">
        <w:rPr>
          <w:rFonts w:ascii="Arial" w:hAnsi="Arial" w:cs="Arial"/>
          <w:b/>
          <w:sz w:val="22"/>
          <w:szCs w:val="22"/>
        </w:rPr>
        <w:t xml:space="preserve">, a proto </w:t>
      </w:r>
      <w:r w:rsidR="00E8536A">
        <w:rPr>
          <w:rFonts w:ascii="Arial" w:hAnsi="Arial" w:cs="Arial"/>
          <w:b/>
          <w:sz w:val="22"/>
          <w:szCs w:val="22"/>
        </w:rPr>
        <w:t xml:space="preserve">společnost O2 </w:t>
      </w:r>
      <w:r w:rsidR="002D7281">
        <w:rPr>
          <w:rFonts w:ascii="Arial" w:hAnsi="Arial" w:cs="Arial"/>
          <w:b/>
          <w:sz w:val="22"/>
          <w:szCs w:val="22"/>
        </w:rPr>
        <w:t>navrhuje i v tomto případě konstatovat kritérium jako nesplněné.</w:t>
      </w:r>
    </w:p>
    <w:p w14:paraId="1B1E1A26" w14:textId="77777777" w:rsidR="002D7281" w:rsidRDefault="002D7281" w:rsidP="002D7281">
      <w:pPr>
        <w:ind w:firstLine="360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2CF17CA4" w14:textId="77777777" w:rsidR="002D7281" w:rsidRDefault="002D7281" w:rsidP="002D728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CDDF5D9" w14:textId="7F309F20" w:rsidR="002D7281" w:rsidRDefault="002D7281" w:rsidP="002D728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zdůvodnění dochází pouze k</w:t>
      </w:r>
      <w:r w:rsidR="00E8536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účelov</w:t>
      </w:r>
      <w:r w:rsidR="00E8536A">
        <w:rPr>
          <w:rFonts w:ascii="Arial" w:hAnsi="Arial" w:cs="Arial"/>
          <w:sz w:val="22"/>
          <w:szCs w:val="22"/>
        </w:rPr>
        <w:t>ě vykonstruované</w:t>
      </w:r>
      <w:r>
        <w:rPr>
          <w:rFonts w:ascii="Arial" w:hAnsi="Arial" w:cs="Arial"/>
          <w:sz w:val="22"/>
          <w:szCs w:val="22"/>
        </w:rPr>
        <w:t xml:space="preserve"> argumentaci</w:t>
      </w:r>
      <w:r w:rsidRPr="002D7281">
        <w:rPr>
          <w:rFonts w:ascii="Arial" w:hAnsi="Arial" w:cs="Arial"/>
          <w:sz w:val="22"/>
          <w:szCs w:val="22"/>
        </w:rPr>
        <w:t xml:space="preserve"> ve prospěch ex-ante regulace, která se snaží opírat o předchozí nesprávné závěry hodnocení kritéria </w:t>
      </w:r>
      <w:r>
        <w:rPr>
          <w:rFonts w:ascii="Arial" w:hAnsi="Arial" w:cs="Arial"/>
          <w:sz w:val="22"/>
          <w:szCs w:val="22"/>
        </w:rPr>
        <w:t xml:space="preserve">č. </w:t>
      </w:r>
      <w:r w:rsidRPr="002D7281">
        <w:rPr>
          <w:rFonts w:ascii="Arial" w:hAnsi="Arial" w:cs="Arial"/>
          <w:sz w:val="22"/>
          <w:szCs w:val="22"/>
        </w:rPr>
        <w:t>1 a 2.</w:t>
      </w:r>
      <w:r>
        <w:rPr>
          <w:rFonts w:ascii="Arial" w:hAnsi="Arial" w:cs="Arial"/>
          <w:sz w:val="22"/>
          <w:szCs w:val="22"/>
        </w:rPr>
        <w:t xml:space="preserve"> </w:t>
      </w:r>
      <w:r w:rsidR="002B1CDF">
        <w:rPr>
          <w:rFonts w:ascii="Arial" w:hAnsi="Arial" w:cs="Arial"/>
          <w:sz w:val="22"/>
          <w:szCs w:val="22"/>
        </w:rPr>
        <w:t xml:space="preserve">Navíc podmínka, kterou </w:t>
      </w:r>
      <w:r w:rsidR="00E8536A">
        <w:rPr>
          <w:rFonts w:ascii="Arial" w:hAnsi="Arial" w:cs="Arial"/>
          <w:sz w:val="22"/>
          <w:szCs w:val="22"/>
        </w:rPr>
        <w:t xml:space="preserve">dokonce </w:t>
      </w:r>
      <w:r w:rsidR="002B1CDF">
        <w:rPr>
          <w:rFonts w:ascii="Arial" w:hAnsi="Arial" w:cs="Arial"/>
          <w:sz w:val="22"/>
          <w:szCs w:val="22"/>
        </w:rPr>
        <w:t xml:space="preserve">sám </w:t>
      </w:r>
      <w:r w:rsidR="00E8536A">
        <w:rPr>
          <w:rFonts w:ascii="Arial" w:hAnsi="Arial" w:cs="Arial"/>
          <w:sz w:val="22"/>
          <w:szCs w:val="22"/>
        </w:rPr>
        <w:t xml:space="preserve">ČTÚ </w:t>
      </w:r>
      <w:r w:rsidR="002B1CDF">
        <w:rPr>
          <w:rFonts w:ascii="Arial" w:hAnsi="Arial" w:cs="Arial"/>
          <w:sz w:val="22"/>
          <w:szCs w:val="22"/>
        </w:rPr>
        <w:t xml:space="preserve">zmiňuje, a která vychází z Přístupové směrnice 2002/19/EC, tedy že </w:t>
      </w:r>
      <w:r w:rsidR="002B1CDF" w:rsidRPr="004631BF">
        <w:rPr>
          <w:rFonts w:ascii="Arial" w:hAnsi="Arial" w:cs="Arial"/>
          <w:i/>
          <w:sz w:val="22"/>
          <w:szCs w:val="22"/>
        </w:rPr>
        <w:t>„Pokud nejsou obchodní jednání úspěšná, měly by mít vnitrostátní regulační orgány pravomoc v zájmu koncových uživatelů zajistit přístup, propojení a interoperabilitu služeb za přiměřených podmínek.“</w:t>
      </w:r>
      <w:r w:rsidR="002B1CDF">
        <w:rPr>
          <w:rFonts w:ascii="Arial" w:hAnsi="Arial" w:cs="Arial"/>
          <w:sz w:val="22"/>
          <w:szCs w:val="22"/>
        </w:rPr>
        <w:t xml:space="preserve">, není </w:t>
      </w:r>
      <w:r w:rsidR="00E8536A">
        <w:rPr>
          <w:rFonts w:ascii="Arial" w:hAnsi="Arial" w:cs="Arial"/>
          <w:sz w:val="22"/>
          <w:szCs w:val="22"/>
        </w:rPr>
        <w:t xml:space="preserve">naprosto </w:t>
      </w:r>
      <w:r w:rsidR="002B1CDF">
        <w:rPr>
          <w:rFonts w:ascii="Arial" w:hAnsi="Arial" w:cs="Arial"/>
          <w:sz w:val="22"/>
          <w:szCs w:val="22"/>
        </w:rPr>
        <w:t>splněna</w:t>
      </w:r>
      <w:r w:rsidR="00E8536A">
        <w:rPr>
          <w:rFonts w:ascii="Arial" w:hAnsi="Arial" w:cs="Arial"/>
          <w:sz w:val="22"/>
          <w:szCs w:val="22"/>
        </w:rPr>
        <w:t>, jak je mnohokrát uvedeno výše</w:t>
      </w:r>
      <w:r w:rsidR="002B1CDF">
        <w:rPr>
          <w:rFonts w:ascii="Arial" w:hAnsi="Arial" w:cs="Arial"/>
          <w:sz w:val="22"/>
          <w:szCs w:val="22"/>
        </w:rPr>
        <w:t xml:space="preserve">. O jejím nesplnění svědčí množství uzavřených komerčních </w:t>
      </w:r>
      <w:r w:rsidR="004006E8">
        <w:rPr>
          <w:rFonts w:ascii="Arial" w:hAnsi="Arial" w:cs="Arial"/>
          <w:sz w:val="22"/>
          <w:szCs w:val="22"/>
        </w:rPr>
        <w:t xml:space="preserve">velkoobchodních </w:t>
      </w:r>
      <w:r w:rsidR="002B1CDF">
        <w:rPr>
          <w:rFonts w:ascii="Arial" w:hAnsi="Arial" w:cs="Arial"/>
          <w:sz w:val="22"/>
          <w:szCs w:val="22"/>
        </w:rPr>
        <w:t>smluv s MVNO a stejně tak trend jejich počtu a tržního podílu</w:t>
      </w:r>
      <w:r w:rsidR="00E8536A">
        <w:rPr>
          <w:rFonts w:ascii="Arial" w:hAnsi="Arial" w:cs="Arial"/>
          <w:sz w:val="22"/>
          <w:szCs w:val="22"/>
        </w:rPr>
        <w:t>, což uvádí i ČTÚ ve svém dokumentu.</w:t>
      </w:r>
    </w:p>
    <w:p w14:paraId="5CD89BD8" w14:textId="77777777" w:rsidR="002B1CDF" w:rsidRDefault="002B1CDF" w:rsidP="002D728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B5E167D" w14:textId="77777777" w:rsidR="00C02A03" w:rsidRDefault="00C02A03" w:rsidP="002D728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CDF8D26" w14:textId="6477A800" w:rsidR="002B1CDF" w:rsidRPr="00F74723" w:rsidRDefault="002B1CDF" w:rsidP="00600766">
      <w:pPr>
        <w:pStyle w:val="Nadpis2"/>
        <w:ind w:left="426" w:hanging="426"/>
      </w:pPr>
      <w:r w:rsidRPr="00F74723">
        <w:t xml:space="preserve"> Změna </w:t>
      </w:r>
      <w:r w:rsidRPr="00265D7D">
        <w:t>výsledku</w:t>
      </w:r>
      <w:r w:rsidRPr="00F74723">
        <w:t xml:space="preserve"> a závěru testu tří kritérií</w:t>
      </w:r>
      <w:r w:rsidR="002C1223">
        <w:t xml:space="preserve"> – str. 69</w:t>
      </w:r>
    </w:p>
    <w:p w14:paraId="24B36761" w14:textId="77777777" w:rsidR="002B1CDF" w:rsidRDefault="002B1CDF" w:rsidP="002B1CDF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40EAB464" w14:textId="77777777" w:rsidR="002B1CDF" w:rsidRDefault="002B1CDF" w:rsidP="002B1CDF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2B1CDF">
        <w:rPr>
          <w:rFonts w:ascii="Arial" w:hAnsi="Arial" w:cs="Arial"/>
          <w:i/>
          <w:sz w:val="22"/>
          <w:szCs w:val="22"/>
        </w:rPr>
        <w:t>Návrh na doplnění, změnu, zrušení nebo nahrazení textu ustanovení návrhu opatření:</w:t>
      </w:r>
    </w:p>
    <w:p w14:paraId="1191A77E" w14:textId="77777777" w:rsidR="002B1CDF" w:rsidRDefault="002B1CDF" w:rsidP="002B1CDF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47E13CB1" w14:textId="2046417E" w:rsidR="002B1CDF" w:rsidRPr="006F26B6" w:rsidRDefault="00E8536A" w:rsidP="002B1CDF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ČTÚ </w:t>
      </w:r>
      <w:r w:rsidR="002B1CDF" w:rsidRPr="006F26B6">
        <w:rPr>
          <w:rFonts w:ascii="Arial" w:hAnsi="Arial" w:cs="Arial"/>
          <w:b/>
          <w:sz w:val="22"/>
          <w:szCs w:val="22"/>
        </w:rPr>
        <w:t>provedl test tři kritérií, který prokázal, že ani jedno z</w:t>
      </w:r>
      <w:r w:rsidR="00986EE6">
        <w:rPr>
          <w:rFonts w:ascii="Arial" w:hAnsi="Arial" w:cs="Arial"/>
          <w:b/>
          <w:sz w:val="22"/>
          <w:szCs w:val="22"/>
        </w:rPr>
        <w:t>e</w:t>
      </w:r>
      <w:r w:rsidR="002B1CDF" w:rsidRPr="006F26B6">
        <w:rPr>
          <w:rFonts w:ascii="Arial" w:hAnsi="Arial" w:cs="Arial"/>
          <w:b/>
          <w:sz w:val="22"/>
          <w:szCs w:val="22"/>
        </w:rPr>
        <w:t xml:space="preserve"> tři kritérií není splněno.</w:t>
      </w:r>
    </w:p>
    <w:p w14:paraId="66DDD111" w14:textId="77777777" w:rsidR="002B1CDF" w:rsidRDefault="002B1CDF" w:rsidP="002B1CDF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0C87D22" w14:textId="77777777" w:rsidR="002B1CDF" w:rsidRDefault="002B1CDF" w:rsidP="002B1CDF">
      <w:pPr>
        <w:ind w:firstLine="360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66AA59D5" w14:textId="77777777" w:rsidR="002B1CDF" w:rsidRDefault="002B1CDF" w:rsidP="002B1CDF">
      <w:pPr>
        <w:ind w:left="357"/>
        <w:jc w:val="both"/>
        <w:rPr>
          <w:rFonts w:ascii="Arial" w:hAnsi="Arial" w:cs="Arial"/>
          <w:b/>
        </w:rPr>
      </w:pPr>
    </w:p>
    <w:p w14:paraId="7853AB45" w14:textId="785607D0" w:rsidR="00663EEB" w:rsidRPr="0083047F" w:rsidRDefault="002B1CDF" w:rsidP="00713561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83047F">
        <w:rPr>
          <w:rFonts w:ascii="Arial" w:hAnsi="Arial" w:cs="Arial"/>
          <w:b/>
          <w:sz w:val="22"/>
          <w:szCs w:val="22"/>
        </w:rPr>
        <w:t xml:space="preserve">Vzhledem k výše uvedeným argumentům a </w:t>
      </w:r>
      <w:r w:rsidR="00327014" w:rsidRPr="0083047F">
        <w:rPr>
          <w:rFonts w:ascii="Arial" w:hAnsi="Arial" w:cs="Arial"/>
          <w:b/>
          <w:sz w:val="22"/>
          <w:szCs w:val="22"/>
        </w:rPr>
        <w:t xml:space="preserve">faktům </w:t>
      </w:r>
      <w:r w:rsidRPr="0083047F">
        <w:rPr>
          <w:rFonts w:ascii="Arial" w:hAnsi="Arial" w:cs="Arial"/>
          <w:b/>
          <w:sz w:val="22"/>
          <w:szCs w:val="22"/>
        </w:rPr>
        <w:t xml:space="preserve">lze konstatovat, že ani jedno z kritérií </w:t>
      </w:r>
      <w:proofErr w:type="spellStart"/>
      <w:r w:rsidRPr="0083047F">
        <w:rPr>
          <w:rFonts w:ascii="Arial" w:hAnsi="Arial" w:cs="Arial"/>
          <w:b/>
          <w:sz w:val="22"/>
          <w:szCs w:val="22"/>
        </w:rPr>
        <w:t>tříkriteriálního</w:t>
      </w:r>
      <w:proofErr w:type="spellEnd"/>
      <w:r w:rsidRPr="0083047F">
        <w:rPr>
          <w:rFonts w:ascii="Arial" w:hAnsi="Arial" w:cs="Arial"/>
          <w:b/>
          <w:sz w:val="22"/>
          <w:szCs w:val="22"/>
        </w:rPr>
        <w:t xml:space="preserve"> testu nebylo splněno. </w:t>
      </w:r>
      <w:r w:rsidR="00713561" w:rsidRPr="0083047F">
        <w:rPr>
          <w:rFonts w:ascii="Arial" w:hAnsi="Arial" w:cs="Arial"/>
          <w:b/>
          <w:sz w:val="22"/>
          <w:szCs w:val="22"/>
        </w:rPr>
        <w:t>Č</w:t>
      </w:r>
      <w:r w:rsidR="00327014" w:rsidRPr="0083047F">
        <w:rPr>
          <w:rFonts w:ascii="Arial" w:hAnsi="Arial" w:cs="Arial"/>
          <w:b/>
          <w:sz w:val="22"/>
          <w:szCs w:val="22"/>
        </w:rPr>
        <w:t xml:space="preserve">TÚ </w:t>
      </w:r>
      <w:r w:rsidRPr="0083047F">
        <w:rPr>
          <w:rFonts w:ascii="Arial" w:hAnsi="Arial" w:cs="Arial"/>
          <w:b/>
          <w:sz w:val="22"/>
          <w:szCs w:val="22"/>
        </w:rPr>
        <w:t xml:space="preserve">v závěrech jednotlivých částí </w:t>
      </w:r>
      <w:r w:rsidR="00327014" w:rsidRPr="0083047F">
        <w:rPr>
          <w:rFonts w:ascii="Arial" w:hAnsi="Arial" w:cs="Arial"/>
          <w:b/>
          <w:sz w:val="22"/>
          <w:szCs w:val="22"/>
        </w:rPr>
        <w:t xml:space="preserve">dokonce </w:t>
      </w:r>
      <w:r w:rsidRPr="00F4511F">
        <w:rPr>
          <w:rFonts w:ascii="Arial" w:hAnsi="Arial" w:cs="Arial"/>
          <w:b/>
          <w:sz w:val="22"/>
          <w:szCs w:val="22"/>
        </w:rPr>
        <w:t>odporuje výsledkům vlastních (!) analýz</w:t>
      </w:r>
      <w:r w:rsidR="00663EEB" w:rsidRPr="00F4511F">
        <w:rPr>
          <w:rFonts w:ascii="Arial" w:hAnsi="Arial" w:cs="Arial"/>
          <w:b/>
          <w:sz w:val="22"/>
          <w:szCs w:val="22"/>
        </w:rPr>
        <w:t>,</w:t>
      </w:r>
      <w:r w:rsidR="008C4954" w:rsidRPr="0083047F">
        <w:rPr>
          <w:rFonts w:ascii="Arial" w:hAnsi="Arial" w:cs="Arial"/>
          <w:b/>
          <w:sz w:val="22"/>
          <w:szCs w:val="22"/>
        </w:rPr>
        <w:t xml:space="preserve"> respektive si účelově vybírá pouze</w:t>
      </w:r>
      <w:r w:rsidR="00327014" w:rsidRPr="0083047F">
        <w:rPr>
          <w:rFonts w:ascii="Arial" w:hAnsi="Arial" w:cs="Arial"/>
          <w:b/>
          <w:sz w:val="22"/>
          <w:szCs w:val="22"/>
        </w:rPr>
        <w:t xml:space="preserve"> </w:t>
      </w:r>
      <w:r w:rsidR="008C4954" w:rsidRPr="0083047F">
        <w:rPr>
          <w:rFonts w:ascii="Arial" w:hAnsi="Arial" w:cs="Arial"/>
          <w:b/>
          <w:sz w:val="22"/>
          <w:szCs w:val="22"/>
        </w:rPr>
        <w:t xml:space="preserve">vybrané problematiky, jejichž zařazení a vyhodnocení je sporné, nedostatečné nebo </w:t>
      </w:r>
      <w:r w:rsidR="00EC42ED" w:rsidRPr="0083047F">
        <w:rPr>
          <w:rFonts w:ascii="Arial" w:hAnsi="Arial" w:cs="Arial"/>
          <w:b/>
          <w:sz w:val="22"/>
          <w:szCs w:val="22"/>
        </w:rPr>
        <w:t xml:space="preserve">přímo </w:t>
      </w:r>
      <w:r w:rsidR="008C4954" w:rsidRPr="0083047F">
        <w:rPr>
          <w:rFonts w:ascii="Arial" w:hAnsi="Arial" w:cs="Arial"/>
          <w:b/>
          <w:sz w:val="22"/>
          <w:szCs w:val="22"/>
        </w:rPr>
        <w:t>chybné</w:t>
      </w:r>
      <w:r w:rsidRPr="0083047F">
        <w:rPr>
          <w:rFonts w:ascii="Arial" w:hAnsi="Arial" w:cs="Arial"/>
          <w:b/>
          <w:sz w:val="22"/>
          <w:szCs w:val="22"/>
        </w:rPr>
        <w:t xml:space="preserve">. Celý test působí velmi účelově a není v žádném případě možné na jeho základě přistoupit k zařazení trhu do seznamu relevantních trhů, potažmo k možnosti </w:t>
      </w:r>
      <w:r w:rsidR="00EC42ED" w:rsidRPr="0083047F">
        <w:rPr>
          <w:rFonts w:ascii="Arial" w:hAnsi="Arial" w:cs="Arial"/>
          <w:b/>
          <w:sz w:val="22"/>
          <w:szCs w:val="22"/>
        </w:rPr>
        <w:t xml:space="preserve">uložení </w:t>
      </w:r>
      <w:r w:rsidRPr="0083047F">
        <w:rPr>
          <w:rFonts w:ascii="Arial" w:hAnsi="Arial" w:cs="Arial"/>
          <w:b/>
          <w:sz w:val="22"/>
          <w:szCs w:val="22"/>
        </w:rPr>
        <w:t xml:space="preserve">ex ante regulace. </w:t>
      </w:r>
    </w:p>
    <w:p w14:paraId="3DF6009B" w14:textId="77777777" w:rsidR="00663EEB" w:rsidRDefault="00663EEB" w:rsidP="00713561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7852C55" w14:textId="77777777" w:rsidR="00007619" w:rsidRDefault="003D669C" w:rsidP="00007619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83047F">
        <w:rPr>
          <w:rFonts w:ascii="Arial" w:hAnsi="Arial" w:cs="Arial"/>
          <w:b/>
          <w:sz w:val="22"/>
          <w:szCs w:val="22"/>
        </w:rPr>
        <w:t xml:space="preserve">Místo aby test byl založen na jasných a průkazných faktech o stavu relevantního trhu, tak je postaven jen </w:t>
      </w:r>
      <w:r w:rsidR="00F74723" w:rsidRPr="0083047F">
        <w:rPr>
          <w:rFonts w:ascii="Arial" w:hAnsi="Arial" w:cs="Arial"/>
          <w:b/>
          <w:sz w:val="22"/>
          <w:szCs w:val="22"/>
        </w:rPr>
        <w:t>na domněnkách a</w:t>
      </w:r>
      <w:r w:rsidR="00EC42ED" w:rsidRPr="0083047F">
        <w:rPr>
          <w:rFonts w:ascii="Arial" w:hAnsi="Arial" w:cs="Arial"/>
          <w:b/>
          <w:sz w:val="22"/>
          <w:szCs w:val="22"/>
        </w:rPr>
        <w:t xml:space="preserve"> pocitech</w:t>
      </w:r>
      <w:r w:rsidRPr="0083047F">
        <w:rPr>
          <w:rFonts w:ascii="Arial" w:hAnsi="Arial" w:cs="Arial"/>
          <w:b/>
          <w:sz w:val="22"/>
          <w:szCs w:val="22"/>
        </w:rPr>
        <w:t xml:space="preserve"> ČTÚ</w:t>
      </w:r>
      <w:r w:rsidR="00EC42ED" w:rsidRPr="0083047F">
        <w:rPr>
          <w:rFonts w:ascii="Arial" w:hAnsi="Arial" w:cs="Arial"/>
          <w:b/>
          <w:sz w:val="22"/>
          <w:szCs w:val="22"/>
        </w:rPr>
        <w:t xml:space="preserve"> </w:t>
      </w:r>
      <w:r w:rsidRPr="0083047F">
        <w:rPr>
          <w:rFonts w:ascii="Arial" w:hAnsi="Arial" w:cs="Arial"/>
          <w:b/>
          <w:sz w:val="22"/>
          <w:szCs w:val="22"/>
        </w:rPr>
        <w:t>(</w:t>
      </w:r>
      <w:r w:rsidR="00663EEB" w:rsidRPr="0083047F">
        <w:rPr>
          <w:rFonts w:ascii="Arial" w:hAnsi="Arial" w:cs="Arial"/>
          <w:b/>
          <w:sz w:val="22"/>
          <w:szCs w:val="22"/>
        </w:rPr>
        <w:t>viz</w:t>
      </w:r>
      <w:r w:rsidRPr="0083047F">
        <w:rPr>
          <w:rFonts w:ascii="Arial" w:hAnsi="Arial" w:cs="Arial"/>
          <w:b/>
          <w:sz w:val="22"/>
          <w:szCs w:val="22"/>
        </w:rPr>
        <w:t xml:space="preserve"> např. formulace „ČTÚ identifikoval možné překážky“)</w:t>
      </w:r>
      <w:r w:rsidR="00663EEB" w:rsidRPr="0083047F">
        <w:rPr>
          <w:rFonts w:ascii="Arial" w:hAnsi="Arial" w:cs="Arial"/>
          <w:b/>
          <w:sz w:val="22"/>
          <w:szCs w:val="22"/>
        </w:rPr>
        <w:t xml:space="preserve"> </w:t>
      </w:r>
      <w:r w:rsidR="00EC42ED" w:rsidRPr="0083047F">
        <w:rPr>
          <w:rFonts w:ascii="Arial" w:hAnsi="Arial" w:cs="Arial"/>
          <w:b/>
          <w:sz w:val="22"/>
          <w:szCs w:val="22"/>
        </w:rPr>
        <w:t>pravděpodobně vyplývajících z</w:t>
      </w:r>
      <w:r w:rsidRPr="0083047F">
        <w:rPr>
          <w:rFonts w:ascii="Arial" w:hAnsi="Arial" w:cs="Arial"/>
          <w:b/>
          <w:sz w:val="22"/>
          <w:szCs w:val="22"/>
        </w:rPr>
        <w:t> předem daného</w:t>
      </w:r>
      <w:r w:rsidR="00EC42ED" w:rsidRPr="0083047F">
        <w:rPr>
          <w:rFonts w:ascii="Arial" w:hAnsi="Arial" w:cs="Arial"/>
          <w:b/>
          <w:sz w:val="22"/>
          <w:szCs w:val="22"/>
        </w:rPr>
        <w:t xml:space="preserve"> </w:t>
      </w:r>
      <w:r w:rsidRPr="0083047F">
        <w:rPr>
          <w:rFonts w:ascii="Arial" w:hAnsi="Arial" w:cs="Arial"/>
          <w:b/>
          <w:sz w:val="22"/>
          <w:szCs w:val="22"/>
        </w:rPr>
        <w:lastRenderedPageBreak/>
        <w:t xml:space="preserve">hlubokého přesvědčení anebo </w:t>
      </w:r>
      <w:r w:rsidR="00EC42ED" w:rsidRPr="0083047F">
        <w:rPr>
          <w:rFonts w:ascii="Arial" w:hAnsi="Arial" w:cs="Arial"/>
          <w:b/>
          <w:sz w:val="22"/>
          <w:szCs w:val="22"/>
        </w:rPr>
        <w:t>„politického“</w:t>
      </w:r>
      <w:r w:rsidRPr="0083047F">
        <w:rPr>
          <w:rFonts w:ascii="Arial" w:hAnsi="Arial" w:cs="Arial"/>
          <w:b/>
          <w:sz w:val="22"/>
          <w:szCs w:val="22"/>
        </w:rPr>
        <w:t xml:space="preserve"> zadání</w:t>
      </w:r>
      <w:r w:rsidR="00663EEB" w:rsidRPr="0083047F">
        <w:rPr>
          <w:rFonts w:ascii="Arial" w:hAnsi="Arial" w:cs="Arial"/>
          <w:b/>
          <w:sz w:val="22"/>
          <w:szCs w:val="22"/>
        </w:rPr>
        <w:t xml:space="preserve"> regulátora</w:t>
      </w:r>
      <w:r w:rsidRPr="0083047F">
        <w:rPr>
          <w:rFonts w:ascii="Arial" w:hAnsi="Arial" w:cs="Arial"/>
          <w:b/>
          <w:sz w:val="22"/>
          <w:szCs w:val="22"/>
        </w:rPr>
        <w:t>, že test prostě musí vyjít</w:t>
      </w:r>
      <w:r w:rsidR="00663EEB" w:rsidRPr="0083047F">
        <w:rPr>
          <w:rFonts w:ascii="Arial" w:hAnsi="Arial" w:cs="Arial"/>
          <w:b/>
          <w:sz w:val="22"/>
          <w:szCs w:val="22"/>
        </w:rPr>
        <w:t xml:space="preserve"> v každém případě</w:t>
      </w:r>
      <w:r w:rsidRPr="0083047F">
        <w:rPr>
          <w:rFonts w:ascii="Arial" w:hAnsi="Arial" w:cs="Arial"/>
          <w:b/>
          <w:sz w:val="22"/>
          <w:szCs w:val="22"/>
        </w:rPr>
        <w:t>, aby se mohlo dále pokračovat směrem k uložení ex ante regulačních opatření.</w:t>
      </w:r>
      <w:r w:rsidR="00F74723" w:rsidRPr="0083047F">
        <w:rPr>
          <w:rFonts w:ascii="Arial" w:hAnsi="Arial" w:cs="Arial"/>
          <w:b/>
          <w:sz w:val="22"/>
          <w:szCs w:val="22"/>
        </w:rPr>
        <w:t xml:space="preserve"> </w:t>
      </w:r>
      <w:r w:rsidRPr="0083047F">
        <w:rPr>
          <w:rFonts w:ascii="Arial" w:hAnsi="Arial" w:cs="Arial"/>
          <w:b/>
          <w:sz w:val="22"/>
          <w:szCs w:val="22"/>
        </w:rPr>
        <w:t>Zcela jasně se to</w:t>
      </w:r>
      <w:r w:rsidR="00663EEB" w:rsidRPr="0083047F">
        <w:rPr>
          <w:rFonts w:ascii="Arial" w:hAnsi="Arial" w:cs="Arial"/>
          <w:b/>
          <w:sz w:val="22"/>
          <w:szCs w:val="22"/>
        </w:rPr>
        <w:t>to</w:t>
      </w:r>
      <w:r w:rsidRPr="0083047F">
        <w:rPr>
          <w:rFonts w:ascii="Arial" w:hAnsi="Arial" w:cs="Arial"/>
          <w:b/>
          <w:sz w:val="22"/>
          <w:szCs w:val="22"/>
        </w:rPr>
        <w:t xml:space="preserve"> ukazuje na p</w:t>
      </w:r>
      <w:r w:rsidR="00EC42ED" w:rsidRPr="0083047F">
        <w:rPr>
          <w:rFonts w:ascii="Arial" w:hAnsi="Arial" w:cs="Arial"/>
          <w:b/>
          <w:sz w:val="22"/>
          <w:szCs w:val="22"/>
        </w:rPr>
        <w:t>opis</w:t>
      </w:r>
      <w:r w:rsidRPr="0083047F">
        <w:rPr>
          <w:rFonts w:ascii="Arial" w:hAnsi="Arial" w:cs="Arial"/>
          <w:b/>
          <w:sz w:val="22"/>
          <w:szCs w:val="22"/>
        </w:rPr>
        <w:t>u</w:t>
      </w:r>
      <w:r w:rsidR="00EC42ED" w:rsidRPr="0083047F">
        <w:rPr>
          <w:rFonts w:ascii="Arial" w:hAnsi="Arial" w:cs="Arial"/>
          <w:b/>
          <w:sz w:val="22"/>
          <w:szCs w:val="22"/>
        </w:rPr>
        <w:t xml:space="preserve"> výsledku t</w:t>
      </w:r>
      <w:r w:rsidR="008C4954" w:rsidRPr="0083047F">
        <w:rPr>
          <w:rFonts w:ascii="Arial" w:hAnsi="Arial" w:cs="Arial"/>
          <w:b/>
          <w:sz w:val="22"/>
          <w:szCs w:val="22"/>
        </w:rPr>
        <w:t>est</w:t>
      </w:r>
      <w:r w:rsidR="00EC42ED" w:rsidRPr="0083047F">
        <w:rPr>
          <w:rFonts w:ascii="Arial" w:hAnsi="Arial" w:cs="Arial"/>
          <w:b/>
          <w:sz w:val="22"/>
          <w:szCs w:val="22"/>
        </w:rPr>
        <w:t>u</w:t>
      </w:r>
      <w:r w:rsidR="008C4954" w:rsidRPr="0083047F">
        <w:rPr>
          <w:rFonts w:ascii="Arial" w:hAnsi="Arial" w:cs="Arial"/>
          <w:b/>
          <w:sz w:val="22"/>
          <w:szCs w:val="22"/>
        </w:rPr>
        <w:t xml:space="preserve"> a jeho vyhodnocení</w:t>
      </w:r>
      <w:r w:rsidRPr="0083047F">
        <w:rPr>
          <w:rFonts w:ascii="Arial" w:hAnsi="Arial" w:cs="Arial"/>
          <w:b/>
          <w:sz w:val="22"/>
          <w:szCs w:val="22"/>
        </w:rPr>
        <w:t xml:space="preserve">, které bylo ze </w:t>
      </w:r>
      <w:r w:rsidR="00663EEB" w:rsidRPr="0083047F">
        <w:rPr>
          <w:rFonts w:ascii="Arial" w:hAnsi="Arial" w:cs="Arial"/>
          <w:b/>
          <w:sz w:val="22"/>
          <w:szCs w:val="22"/>
        </w:rPr>
        <w:t xml:space="preserve">strany </w:t>
      </w:r>
      <w:r w:rsidR="00EC42ED" w:rsidRPr="0083047F">
        <w:rPr>
          <w:rFonts w:ascii="Arial" w:hAnsi="Arial" w:cs="Arial"/>
          <w:b/>
          <w:sz w:val="22"/>
          <w:szCs w:val="22"/>
        </w:rPr>
        <w:t xml:space="preserve">ČTÚ </w:t>
      </w:r>
      <w:r w:rsidR="00663EEB" w:rsidRPr="0083047F">
        <w:rPr>
          <w:rFonts w:ascii="Arial" w:hAnsi="Arial" w:cs="Arial"/>
          <w:b/>
          <w:sz w:val="22"/>
          <w:szCs w:val="22"/>
        </w:rPr>
        <w:t>sepsáno</w:t>
      </w:r>
      <w:r w:rsidR="00EC42ED" w:rsidRPr="0083047F">
        <w:rPr>
          <w:rFonts w:ascii="Arial" w:hAnsi="Arial" w:cs="Arial"/>
          <w:b/>
          <w:sz w:val="22"/>
          <w:szCs w:val="22"/>
        </w:rPr>
        <w:t xml:space="preserve"> </w:t>
      </w:r>
      <w:r w:rsidR="008C4954" w:rsidRPr="0083047F">
        <w:rPr>
          <w:rFonts w:ascii="Arial" w:hAnsi="Arial" w:cs="Arial"/>
          <w:b/>
          <w:sz w:val="22"/>
          <w:szCs w:val="22"/>
        </w:rPr>
        <w:t>b</w:t>
      </w:r>
      <w:r w:rsidR="00AC6D67" w:rsidRPr="0083047F">
        <w:rPr>
          <w:rFonts w:ascii="Arial" w:hAnsi="Arial" w:cs="Arial"/>
          <w:b/>
          <w:sz w:val="22"/>
          <w:szCs w:val="22"/>
        </w:rPr>
        <w:t>ez ohledu na provedenou analýzu</w:t>
      </w:r>
      <w:r w:rsidR="00EC42ED" w:rsidRPr="0083047F">
        <w:rPr>
          <w:rFonts w:ascii="Arial" w:hAnsi="Arial" w:cs="Arial"/>
          <w:b/>
          <w:sz w:val="22"/>
          <w:szCs w:val="22"/>
        </w:rPr>
        <w:t xml:space="preserve"> a fakta</w:t>
      </w:r>
      <w:r w:rsidR="00663EEB" w:rsidRPr="0083047F">
        <w:rPr>
          <w:rFonts w:ascii="Arial" w:hAnsi="Arial" w:cs="Arial"/>
          <w:b/>
          <w:sz w:val="22"/>
          <w:szCs w:val="22"/>
        </w:rPr>
        <w:t xml:space="preserve"> uváděná samotným ČTÚ, přičemž ještě k tomu všemu i </w:t>
      </w:r>
      <w:r w:rsidR="00EC42ED" w:rsidRPr="0083047F">
        <w:rPr>
          <w:rFonts w:ascii="Arial" w:hAnsi="Arial" w:cs="Arial"/>
          <w:b/>
          <w:sz w:val="22"/>
          <w:szCs w:val="22"/>
        </w:rPr>
        <w:t xml:space="preserve">vlastní analýza </w:t>
      </w:r>
      <w:r w:rsidR="00663EEB" w:rsidRPr="0083047F">
        <w:rPr>
          <w:rFonts w:ascii="Arial" w:hAnsi="Arial" w:cs="Arial"/>
          <w:b/>
          <w:sz w:val="22"/>
          <w:szCs w:val="22"/>
        </w:rPr>
        <w:t xml:space="preserve">ČTÚ </w:t>
      </w:r>
      <w:r w:rsidR="00AC6D67" w:rsidRPr="0083047F">
        <w:rPr>
          <w:rFonts w:ascii="Arial" w:hAnsi="Arial" w:cs="Arial"/>
          <w:b/>
          <w:sz w:val="22"/>
          <w:szCs w:val="22"/>
        </w:rPr>
        <w:t xml:space="preserve">trpí mnohými početními, rozporujícími si a nelogickými daty, </w:t>
      </w:r>
      <w:r w:rsidR="00663EEB" w:rsidRPr="0083047F">
        <w:rPr>
          <w:rFonts w:ascii="Arial" w:hAnsi="Arial" w:cs="Arial"/>
          <w:b/>
          <w:sz w:val="22"/>
          <w:szCs w:val="22"/>
        </w:rPr>
        <w:t xml:space="preserve">jak je popsáno v připomínkách výše a tím je </w:t>
      </w:r>
      <w:r w:rsidR="00AC6D67" w:rsidRPr="0083047F">
        <w:rPr>
          <w:rFonts w:ascii="Arial" w:hAnsi="Arial" w:cs="Arial"/>
          <w:b/>
          <w:sz w:val="22"/>
          <w:szCs w:val="22"/>
        </w:rPr>
        <w:t>dále sn</w:t>
      </w:r>
      <w:r w:rsidR="00663EEB" w:rsidRPr="0083047F">
        <w:rPr>
          <w:rFonts w:ascii="Arial" w:hAnsi="Arial" w:cs="Arial"/>
          <w:b/>
          <w:sz w:val="22"/>
          <w:szCs w:val="22"/>
        </w:rPr>
        <w:t>ížena</w:t>
      </w:r>
      <w:r w:rsidR="00AC6D67" w:rsidRPr="0083047F">
        <w:rPr>
          <w:rFonts w:ascii="Arial" w:hAnsi="Arial" w:cs="Arial"/>
          <w:b/>
          <w:sz w:val="22"/>
          <w:szCs w:val="22"/>
        </w:rPr>
        <w:t xml:space="preserve"> věrohodnost </w:t>
      </w:r>
      <w:r w:rsidR="00663EEB" w:rsidRPr="0083047F">
        <w:rPr>
          <w:rFonts w:ascii="Arial" w:hAnsi="Arial" w:cs="Arial"/>
          <w:b/>
          <w:sz w:val="22"/>
          <w:szCs w:val="22"/>
        </w:rPr>
        <w:t xml:space="preserve">celého </w:t>
      </w:r>
      <w:r w:rsidR="00007619">
        <w:rPr>
          <w:rFonts w:ascii="Arial" w:hAnsi="Arial" w:cs="Arial"/>
          <w:b/>
          <w:sz w:val="22"/>
          <w:szCs w:val="22"/>
        </w:rPr>
        <w:t>provedeného testu.</w:t>
      </w:r>
    </w:p>
    <w:p w14:paraId="43A29F71" w14:textId="77777777" w:rsidR="00007619" w:rsidRDefault="00007619" w:rsidP="0000761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33486EE5" w14:textId="77777777" w:rsidR="00232BD1" w:rsidRDefault="00232BD1" w:rsidP="0000761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40EA8DC3" w14:textId="77777777" w:rsidR="00232BD1" w:rsidRDefault="00232BD1" w:rsidP="0000761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7CD3267F" w14:textId="77777777" w:rsidR="00232BD1" w:rsidRDefault="00232BD1" w:rsidP="0000761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57608B2D" w14:textId="0CFB2399" w:rsidR="00507FD8" w:rsidRPr="00232BD1" w:rsidRDefault="00507FD8" w:rsidP="00232BD1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232BD1">
        <w:rPr>
          <w:rFonts w:ascii="Arial" w:hAnsi="Arial" w:cs="Arial"/>
          <w:b/>
        </w:rPr>
        <w:t>II.</w:t>
      </w:r>
      <w:r w:rsidRPr="00232BD1">
        <w:rPr>
          <w:rFonts w:ascii="Arial" w:hAnsi="Arial" w:cs="Arial"/>
          <w:b/>
        </w:rPr>
        <w:tab/>
        <w:t>STANOVISKA A NÁZORY k</w:t>
      </w:r>
      <w:r w:rsidR="008924D5" w:rsidRPr="00232BD1">
        <w:rPr>
          <w:rFonts w:ascii="Arial" w:hAnsi="Arial" w:cs="Arial"/>
          <w:b/>
        </w:rPr>
        <w:t> </w:t>
      </w:r>
      <w:r w:rsidRPr="00232BD1">
        <w:rPr>
          <w:rFonts w:ascii="Arial" w:hAnsi="Arial" w:cs="Arial"/>
          <w:b/>
        </w:rPr>
        <w:t>návrhu opatření:</w:t>
      </w:r>
    </w:p>
    <w:p w14:paraId="2DC81205" w14:textId="77777777" w:rsidR="00507FD8" w:rsidRDefault="00507FD8" w:rsidP="00507FD8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caps/>
          <w:sz w:val="22"/>
          <w:szCs w:val="22"/>
        </w:rPr>
        <w:t>(</w:t>
      </w:r>
      <w:r w:rsidRPr="00E6618D">
        <w:rPr>
          <w:rFonts w:ascii="Arial" w:hAnsi="Arial" w:cs="Arial"/>
          <w:b/>
          <w:sz w:val="22"/>
          <w:szCs w:val="22"/>
        </w:rPr>
        <w:t xml:space="preserve">Český telekomunikační úřad k uplatněným stanoviskům a názorům přihlédne při konečném znění opatření, avšak nevypořádává </w:t>
      </w:r>
      <w:proofErr w:type="gramStart"/>
      <w:r w:rsidRPr="00E6618D">
        <w:rPr>
          <w:rFonts w:ascii="Arial" w:hAnsi="Arial" w:cs="Arial"/>
          <w:b/>
          <w:sz w:val="22"/>
          <w:szCs w:val="22"/>
        </w:rPr>
        <w:t>je</w:t>
      </w:r>
      <w:proofErr w:type="gramEnd"/>
      <w:r w:rsidRPr="00E6618D">
        <w:rPr>
          <w:rFonts w:ascii="Arial" w:hAnsi="Arial" w:cs="Arial"/>
          <w:b/>
          <w:sz w:val="22"/>
          <w:szCs w:val="22"/>
        </w:rPr>
        <w:t>.)</w:t>
      </w:r>
    </w:p>
    <w:p w14:paraId="6F680708" w14:textId="77777777" w:rsidR="002721B1" w:rsidRPr="00E6618D" w:rsidRDefault="002721B1" w:rsidP="002721B1">
      <w:pPr>
        <w:rPr>
          <w:rFonts w:ascii="Arial" w:hAnsi="Arial" w:cs="Arial"/>
          <w:i/>
          <w:sz w:val="22"/>
          <w:szCs w:val="22"/>
        </w:rPr>
      </w:pPr>
    </w:p>
    <w:p w14:paraId="5B689D7F" w14:textId="4C47E03A" w:rsidR="00F50FE9" w:rsidRPr="00A20731" w:rsidRDefault="00A20731" w:rsidP="00A20731">
      <w:pPr>
        <w:spacing w:before="120"/>
        <w:ind w:firstLine="357"/>
        <w:jc w:val="both"/>
        <w:rPr>
          <w:rFonts w:ascii="Arial" w:hAnsi="Arial" w:cs="Arial"/>
          <w:sz w:val="22"/>
          <w:szCs w:val="22"/>
        </w:rPr>
      </w:pPr>
      <w:r w:rsidRPr="00A20731">
        <w:rPr>
          <w:rFonts w:ascii="Arial" w:hAnsi="Arial" w:cs="Arial"/>
          <w:sz w:val="22"/>
          <w:szCs w:val="22"/>
        </w:rPr>
        <w:t>Neuplat</w:t>
      </w:r>
      <w:r w:rsidR="008F5B97">
        <w:rPr>
          <w:rFonts w:ascii="Arial" w:hAnsi="Arial" w:cs="Arial"/>
          <w:sz w:val="22"/>
          <w:szCs w:val="22"/>
        </w:rPr>
        <w:t>ňuje se</w:t>
      </w:r>
      <w:r w:rsidRPr="00A20731">
        <w:rPr>
          <w:rFonts w:ascii="Arial" w:hAnsi="Arial" w:cs="Arial"/>
          <w:sz w:val="22"/>
          <w:szCs w:val="22"/>
        </w:rPr>
        <w:t>.</w:t>
      </w:r>
    </w:p>
    <w:p w14:paraId="283263F3" w14:textId="77777777" w:rsidR="002C1223" w:rsidRDefault="002C1223" w:rsidP="002721B1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3FE06144" w14:textId="77777777" w:rsidR="00A20731" w:rsidRDefault="00A20731" w:rsidP="002721B1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45585D07" w14:textId="77777777" w:rsidR="00986EE6" w:rsidRDefault="00986EE6" w:rsidP="002721B1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3A1C3201" w14:textId="77777777" w:rsidR="00C02A03" w:rsidRDefault="00C02A03" w:rsidP="002721B1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66B71B5D" w14:textId="77777777" w:rsidR="00C02A03" w:rsidRDefault="00C02A03" w:rsidP="002721B1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69F5A0C5" w14:textId="77777777" w:rsidR="00986EE6" w:rsidRDefault="00986EE6" w:rsidP="002721B1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568C8146" w14:textId="635217A3" w:rsidR="00FB62E6" w:rsidRPr="00E6618D" w:rsidRDefault="00FB62E6" w:rsidP="00FB62E6">
      <w:pPr>
        <w:spacing w:before="240"/>
        <w:rPr>
          <w:rFonts w:ascii="Arial" w:hAnsi="Arial" w:cs="Arial"/>
          <w:sz w:val="22"/>
          <w:szCs w:val="22"/>
        </w:rPr>
      </w:pPr>
      <w:r w:rsidRPr="00AC5C15">
        <w:rPr>
          <w:rFonts w:ascii="Arial" w:hAnsi="Arial" w:cs="Arial"/>
          <w:b/>
          <w:sz w:val="22"/>
          <w:szCs w:val="22"/>
        </w:rPr>
        <w:t>Datum:</w:t>
      </w:r>
      <w:r w:rsidR="002C1223">
        <w:rPr>
          <w:rFonts w:ascii="Arial" w:hAnsi="Arial" w:cs="Arial"/>
          <w:sz w:val="22"/>
          <w:szCs w:val="22"/>
        </w:rPr>
        <w:t xml:space="preserve"> 17.</w:t>
      </w:r>
      <w:r w:rsidR="00A20731">
        <w:rPr>
          <w:rFonts w:ascii="Arial" w:hAnsi="Arial" w:cs="Arial"/>
          <w:sz w:val="22"/>
          <w:szCs w:val="22"/>
        </w:rPr>
        <w:t xml:space="preserve"> </w:t>
      </w:r>
      <w:r w:rsidR="002C1223">
        <w:rPr>
          <w:rFonts w:ascii="Arial" w:hAnsi="Arial" w:cs="Arial"/>
          <w:sz w:val="22"/>
          <w:szCs w:val="22"/>
        </w:rPr>
        <w:t>10</w:t>
      </w:r>
      <w:r w:rsidR="00AC5C15">
        <w:rPr>
          <w:rFonts w:ascii="Arial" w:hAnsi="Arial" w:cs="Arial"/>
          <w:sz w:val="22"/>
          <w:szCs w:val="22"/>
        </w:rPr>
        <w:t>. 2017</w:t>
      </w:r>
    </w:p>
    <w:p w14:paraId="674848A6" w14:textId="4EE916A0" w:rsidR="00FB62E6" w:rsidRPr="00E6618D" w:rsidRDefault="00FB62E6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 w:rsidRPr="00AC5C15">
        <w:rPr>
          <w:rFonts w:ascii="Arial" w:hAnsi="Arial" w:cs="Arial"/>
          <w:b/>
          <w:sz w:val="22"/>
          <w:szCs w:val="22"/>
        </w:rPr>
        <w:t>Jméno a příjmení, funkce oprávněné osoby:</w:t>
      </w:r>
      <w:r w:rsidR="00AC5C15">
        <w:rPr>
          <w:rFonts w:ascii="Arial" w:hAnsi="Arial" w:cs="Arial"/>
          <w:sz w:val="22"/>
          <w:szCs w:val="22"/>
        </w:rPr>
        <w:t xml:space="preserve"> </w:t>
      </w:r>
      <w:r w:rsidR="009976C8">
        <w:rPr>
          <w:rFonts w:ascii="Arial" w:hAnsi="Arial" w:cs="Arial"/>
          <w:sz w:val="22"/>
          <w:szCs w:val="22"/>
        </w:rPr>
        <w:t>Miloš Koděra</w:t>
      </w:r>
      <w:r w:rsidR="00AC5C15">
        <w:rPr>
          <w:rFonts w:ascii="Arial" w:hAnsi="Arial" w:cs="Arial"/>
          <w:sz w:val="22"/>
          <w:szCs w:val="22"/>
        </w:rPr>
        <w:t xml:space="preserve">, </w:t>
      </w:r>
      <w:r w:rsidR="009976C8">
        <w:rPr>
          <w:rFonts w:ascii="Arial" w:hAnsi="Arial" w:cs="Arial"/>
          <w:sz w:val="22"/>
          <w:szCs w:val="22"/>
        </w:rPr>
        <w:t xml:space="preserve">senior </w:t>
      </w:r>
      <w:r w:rsidR="00AC5C15">
        <w:rPr>
          <w:rFonts w:ascii="Arial" w:hAnsi="Arial" w:cs="Arial"/>
          <w:sz w:val="22"/>
          <w:szCs w:val="22"/>
        </w:rPr>
        <w:t>specialista regulačních záležitostí</w:t>
      </w:r>
    </w:p>
    <w:p w14:paraId="5B17E98F" w14:textId="77777777" w:rsidR="00FB62E6" w:rsidRPr="00FB62E6" w:rsidRDefault="00FB62E6" w:rsidP="00FB62E6">
      <w:pPr>
        <w:spacing w:before="120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Podpis oprávněné osoby</w:t>
      </w:r>
      <w:r w:rsidRPr="00E6618D">
        <w:rPr>
          <w:rStyle w:val="Znakapoznpodarou"/>
          <w:rFonts w:ascii="Arial" w:hAnsi="Arial" w:cs="Arial"/>
          <w:sz w:val="22"/>
          <w:szCs w:val="22"/>
        </w:rPr>
        <w:footnoteReference w:customMarkFollows="1" w:id="9"/>
        <w:sym w:font="Symbol" w:char="F02A"/>
      </w:r>
      <w:r w:rsidRPr="00E6618D">
        <w:rPr>
          <w:rFonts w:ascii="Arial" w:hAnsi="Arial" w:cs="Arial"/>
          <w:sz w:val="22"/>
          <w:szCs w:val="22"/>
        </w:rPr>
        <w:t>):</w:t>
      </w:r>
      <w:r w:rsidR="008924D5">
        <w:rPr>
          <w:rFonts w:ascii="Arial" w:hAnsi="Arial" w:cs="Arial"/>
          <w:sz w:val="22"/>
          <w:szCs w:val="22"/>
        </w:rPr>
        <w:t xml:space="preserve"> Elektronický podpis</w:t>
      </w:r>
    </w:p>
    <w:sectPr w:rsidR="00FB62E6" w:rsidRPr="00FB62E6" w:rsidSect="00D27890">
      <w:headerReference w:type="default" r:id="rId9"/>
      <w:footerReference w:type="default" r:id="rId10"/>
      <w:pgSz w:w="11906" w:h="16838"/>
      <w:pgMar w:top="1939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6BD5B" w14:textId="77777777" w:rsidR="008067E0" w:rsidRDefault="008067E0">
      <w:r>
        <w:separator/>
      </w:r>
    </w:p>
  </w:endnote>
  <w:endnote w:type="continuationSeparator" w:id="0">
    <w:p w14:paraId="1BCA325B" w14:textId="77777777" w:rsidR="008067E0" w:rsidRDefault="0080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CAA6" w14:textId="77777777" w:rsidR="00FF60C0" w:rsidRPr="00430AB7" w:rsidRDefault="00FF60C0">
    <w:pPr>
      <w:pStyle w:val="Zpat"/>
      <w:jc w:val="center"/>
      <w:rPr>
        <w:rFonts w:ascii="Arial" w:hAnsi="Arial" w:cs="Arial"/>
        <w:sz w:val="20"/>
        <w:szCs w:val="20"/>
      </w:rPr>
    </w:pPr>
    <w:r w:rsidRPr="00430AB7">
      <w:rPr>
        <w:rFonts w:ascii="Arial" w:hAnsi="Arial" w:cs="Arial"/>
        <w:bCs/>
        <w:sz w:val="20"/>
        <w:szCs w:val="20"/>
      </w:rPr>
      <w:fldChar w:fldCharType="begin"/>
    </w:r>
    <w:r w:rsidRPr="00430AB7">
      <w:rPr>
        <w:rFonts w:ascii="Arial" w:hAnsi="Arial" w:cs="Arial"/>
        <w:bCs/>
        <w:sz w:val="20"/>
        <w:szCs w:val="20"/>
      </w:rPr>
      <w:instrText>PAGE</w:instrText>
    </w:r>
    <w:r w:rsidRPr="00430AB7">
      <w:rPr>
        <w:rFonts w:ascii="Arial" w:hAnsi="Arial" w:cs="Arial"/>
        <w:bCs/>
        <w:sz w:val="20"/>
        <w:szCs w:val="20"/>
      </w:rPr>
      <w:fldChar w:fldCharType="separate"/>
    </w:r>
    <w:r w:rsidR="00F35483">
      <w:rPr>
        <w:rFonts w:ascii="Arial" w:hAnsi="Arial" w:cs="Arial"/>
        <w:bCs/>
        <w:noProof/>
        <w:sz w:val="20"/>
        <w:szCs w:val="20"/>
      </w:rPr>
      <w:t>14</w:t>
    </w:r>
    <w:r w:rsidRPr="00430AB7">
      <w:rPr>
        <w:rFonts w:ascii="Arial" w:hAnsi="Arial" w:cs="Arial"/>
        <w:bCs/>
        <w:sz w:val="20"/>
        <w:szCs w:val="20"/>
      </w:rPr>
      <w:fldChar w:fldCharType="end"/>
    </w:r>
    <w:r w:rsidRPr="00430AB7">
      <w:rPr>
        <w:rFonts w:ascii="Arial" w:hAnsi="Arial" w:cs="Arial"/>
        <w:sz w:val="20"/>
        <w:szCs w:val="20"/>
      </w:rPr>
      <w:t>/</w:t>
    </w:r>
    <w:r w:rsidRPr="00430AB7">
      <w:rPr>
        <w:rFonts w:ascii="Arial" w:hAnsi="Arial" w:cs="Arial"/>
        <w:bCs/>
        <w:sz w:val="20"/>
        <w:szCs w:val="20"/>
      </w:rPr>
      <w:fldChar w:fldCharType="begin"/>
    </w:r>
    <w:r w:rsidRPr="00430AB7">
      <w:rPr>
        <w:rFonts w:ascii="Arial" w:hAnsi="Arial" w:cs="Arial"/>
        <w:bCs/>
        <w:sz w:val="20"/>
        <w:szCs w:val="20"/>
      </w:rPr>
      <w:instrText>NUMPAGES</w:instrText>
    </w:r>
    <w:r w:rsidRPr="00430AB7">
      <w:rPr>
        <w:rFonts w:ascii="Arial" w:hAnsi="Arial" w:cs="Arial"/>
        <w:bCs/>
        <w:sz w:val="20"/>
        <w:szCs w:val="20"/>
      </w:rPr>
      <w:fldChar w:fldCharType="separate"/>
    </w:r>
    <w:r w:rsidR="00F35483">
      <w:rPr>
        <w:rFonts w:ascii="Arial" w:hAnsi="Arial" w:cs="Arial"/>
        <w:bCs/>
        <w:noProof/>
        <w:sz w:val="20"/>
        <w:szCs w:val="20"/>
      </w:rPr>
      <w:t>14</w:t>
    </w:r>
    <w:r w:rsidRPr="00430AB7">
      <w:rPr>
        <w:rFonts w:ascii="Arial" w:hAnsi="Arial" w:cs="Arial"/>
        <w:bCs/>
        <w:sz w:val="20"/>
        <w:szCs w:val="20"/>
      </w:rPr>
      <w:fldChar w:fldCharType="end"/>
    </w:r>
  </w:p>
  <w:p w14:paraId="11AFF722" w14:textId="77777777" w:rsidR="00FF60C0" w:rsidRDefault="00FF60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0ABB5" w14:textId="77777777" w:rsidR="008067E0" w:rsidRDefault="008067E0">
      <w:r>
        <w:separator/>
      </w:r>
    </w:p>
  </w:footnote>
  <w:footnote w:type="continuationSeparator" w:id="0">
    <w:p w14:paraId="66092246" w14:textId="77777777" w:rsidR="008067E0" w:rsidRDefault="008067E0">
      <w:r>
        <w:continuationSeparator/>
      </w:r>
    </w:p>
  </w:footnote>
  <w:footnote w:id="1">
    <w:p w14:paraId="64E30025" w14:textId="659F0E78" w:rsidR="00CE3BDF" w:rsidRDefault="00CE3BDF" w:rsidP="00D27ED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0C443A">
          <w:rPr>
            <w:rStyle w:val="Hypertextovodkaz"/>
            <w:rFonts w:ascii="Arial" w:hAnsi="Arial" w:cs="Arial"/>
            <w:sz w:val="18"/>
            <w:szCs w:val="18"/>
          </w:rPr>
          <w:t>Doporučení</w:t>
        </w:r>
      </w:hyperlink>
      <w:r w:rsidRPr="000C443A">
        <w:rPr>
          <w:rFonts w:ascii="Arial" w:hAnsi="Arial" w:cs="Arial"/>
          <w:sz w:val="18"/>
          <w:szCs w:val="18"/>
        </w:rPr>
        <w:t xml:space="preserve"> Komise ze dne 9. října 2014 o relevantních trzích produktů a služeb v odvětví elektronických komunikací, které připadají v úvahu pro regulaci ex ante podle směrnice Evropského parlamentu a Rady 2002/21/ES o společném předpisovém rámci pro sítě a služby elektronických komunikací (2014/710/EU).</w:t>
      </w:r>
    </w:p>
  </w:footnote>
  <w:footnote w:id="2">
    <w:p w14:paraId="37A4110A" w14:textId="3D31EE1F" w:rsidR="00DD05BD" w:rsidRPr="0083047F" w:rsidRDefault="00DD05BD" w:rsidP="0083047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3047F">
        <w:rPr>
          <w:rStyle w:val="Znakapoznpodarou"/>
          <w:rFonts w:ascii="Arial" w:hAnsi="Arial" w:cs="Arial"/>
          <w:sz w:val="18"/>
          <w:szCs w:val="18"/>
        </w:rPr>
        <w:footnoteRef/>
      </w:r>
      <w:r w:rsidRPr="0083047F">
        <w:rPr>
          <w:rFonts w:ascii="Arial" w:hAnsi="Arial" w:cs="Arial"/>
          <w:sz w:val="18"/>
          <w:szCs w:val="18"/>
        </w:rPr>
        <w:t xml:space="preserve"> </w:t>
      </w:r>
      <w:r w:rsidRPr="004006E8">
        <w:rPr>
          <w:rFonts w:ascii="Arial" w:hAnsi="Arial" w:cs="Arial"/>
          <w:sz w:val="18"/>
          <w:szCs w:val="18"/>
        </w:rPr>
        <w:t xml:space="preserve">Tyto spolky jsou </w:t>
      </w:r>
      <w:r w:rsidR="00801004" w:rsidRPr="004006E8">
        <w:rPr>
          <w:rFonts w:ascii="Arial" w:hAnsi="Arial" w:cs="Arial"/>
          <w:sz w:val="18"/>
          <w:szCs w:val="18"/>
        </w:rPr>
        <w:t xml:space="preserve">navenek </w:t>
      </w:r>
      <w:r w:rsidRPr="004006E8">
        <w:rPr>
          <w:rFonts w:ascii="Arial" w:hAnsi="Arial" w:cs="Arial"/>
          <w:sz w:val="18"/>
          <w:szCs w:val="18"/>
        </w:rPr>
        <w:t>maskovány jako neziskové organizace</w:t>
      </w:r>
      <w:r w:rsidRPr="0083047F">
        <w:rPr>
          <w:rFonts w:ascii="Arial" w:hAnsi="Arial" w:cs="Arial"/>
          <w:sz w:val="18"/>
          <w:szCs w:val="18"/>
        </w:rPr>
        <w:t>, které se tváří jako subjekty nepodnikající v sektoru elektronických komunikací</w:t>
      </w:r>
      <w:r w:rsidR="00801004" w:rsidRPr="004006E8">
        <w:rPr>
          <w:rFonts w:ascii="Arial" w:hAnsi="Arial" w:cs="Arial"/>
          <w:sz w:val="18"/>
          <w:szCs w:val="18"/>
        </w:rPr>
        <w:t xml:space="preserve"> a provozující jen spolkovou činnost, avšak v</w:t>
      </w:r>
      <w:r w:rsidRPr="004006E8">
        <w:rPr>
          <w:rFonts w:ascii="Arial" w:hAnsi="Arial" w:cs="Arial"/>
          <w:sz w:val="18"/>
          <w:szCs w:val="18"/>
        </w:rPr>
        <w:t xml:space="preserve">e skutečnosti </w:t>
      </w:r>
      <w:r w:rsidR="00801004" w:rsidRPr="004006E8">
        <w:rPr>
          <w:rFonts w:ascii="Arial" w:hAnsi="Arial" w:cs="Arial"/>
          <w:sz w:val="18"/>
          <w:szCs w:val="18"/>
        </w:rPr>
        <w:t>jde o reálné podnikání, které obchází mnohé právní předpisy ČR.</w:t>
      </w:r>
    </w:p>
  </w:footnote>
  <w:footnote w:id="3">
    <w:p w14:paraId="7475465C" w14:textId="0D612D3C" w:rsidR="00CE3BDF" w:rsidRPr="0083047F" w:rsidRDefault="00CE3BDF" w:rsidP="0083047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3047F">
        <w:rPr>
          <w:rStyle w:val="Znakapoznpodarou"/>
          <w:rFonts w:ascii="Arial" w:hAnsi="Arial" w:cs="Arial"/>
          <w:sz w:val="18"/>
          <w:szCs w:val="18"/>
        </w:rPr>
        <w:footnoteRef/>
      </w:r>
      <w:r w:rsidRPr="0083047F">
        <w:rPr>
          <w:rFonts w:ascii="Arial" w:hAnsi="Arial" w:cs="Arial"/>
          <w:sz w:val="18"/>
          <w:szCs w:val="18"/>
        </w:rPr>
        <w:t xml:space="preserve"> </w:t>
      </w:r>
      <w:r w:rsidR="001D406F">
        <w:rPr>
          <w:rFonts w:ascii="Arial" w:hAnsi="Arial" w:cs="Arial"/>
          <w:sz w:val="18"/>
          <w:szCs w:val="18"/>
        </w:rPr>
        <w:t>N</w:t>
      </w:r>
      <w:r w:rsidRPr="0083047F">
        <w:rPr>
          <w:rFonts w:ascii="Arial" w:hAnsi="Arial" w:cs="Arial"/>
          <w:sz w:val="18"/>
          <w:szCs w:val="18"/>
        </w:rPr>
        <w:t>apř. právním předpisům z oblasti plnění daňových povinností</w:t>
      </w:r>
      <w:r w:rsidR="001D406F">
        <w:rPr>
          <w:rFonts w:ascii="Arial" w:hAnsi="Arial" w:cs="Arial"/>
          <w:sz w:val="18"/>
          <w:szCs w:val="18"/>
        </w:rPr>
        <w:t>.</w:t>
      </w:r>
    </w:p>
  </w:footnote>
  <w:footnote w:id="4">
    <w:p w14:paraId="13E440B4" w14:textId="2BADFF20" w:rsidR="0061396F" w:rsidRPr="0083047F" w:rsidRDefault="0061396F" w:rsidP="0083047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83047F">
        <w:rPr>
          <w:rStyle w:val="Znakapoznpodarou"/>
          <w:rFonts w:ascii="Arial" w:hAnsi="Arial" w:cs="Arial"/>
          <w:sz w:val="16"/>
          <w:szCs w:val="16"/>
        </w:rPr>
        <w:footnoteRef/>
      </w:r>
      <w:r w:rsidRPr="0083047F">
        <w:rPr>
          <w:rFonts w:ascii="Arial" w:hAnsi="Arial" w:cs="Arial"/>
          <w:sz w:val="16"/>
          <w:szCs w:val="16"/>
        </w:rPr>
        <w:t xml:space="preserve"> Informace z jiných zemí jako je např. Rakousko </w:t>
      </w:r>
      <w:r w:rsidR="0039353B" w:rsidRPr="0083047F">
        <w:rPr>
          <w:rFonts w:ascii="Arial" w:hAnsi="Arial" w:cs="Arial"/>
          <w:sz w:val="16"/>
          <w:szCs w:val="16"/>
        </w:rPr>
        <w:t xml:space="preserve">však jasně </w:t>
      </w:r>
      <w:r w:rsidRPr="0083047F">
        <w:rPr>
          <w:rFonts w:ascii="Arial" w:hAnsi="Arial" w:cs="Arial"/>
          <w:sz w:val="16"/>
          <w:szCs w:val="16"/>
        </w:rPr>
        <w:t xml:space="preserve">ukazují, že </w:t>
      </w:r>
      <w:r w:rsidR="00BE3ADB">
        <w:rPr>
          <w:rFonts w:ascii="Arial" w:hAnsi="Arial" w:cs="Arial"/>
          <w:sz w:val="16"/>
          <w:szCs w:val="16"/>
        </w:rPr>
        <w:t xml:space="preserve">jinde </w:t>
      </w:r>
      <w:r w:rsidRPr="0083047F">
        <w:rPr>
          <w:rFonts w:ascii="Arial" w:hAnsi="Arial" w:cs="Arial"/>
          <w:sz w:val="16"/>
          <w:szCs w:val="16"/>
        </w:rPr>
        <w:t xml:space="preserve">problém nelegálně podnikajících šedých operátorů a spolků vůbec neznají, protože </w:t>
      </w:r>
      <w:r w:rsidR="00BE3ADB">
        <w:rPr>
          <w:rFonts w:ascii="Arial" w:hAnsi="Arial" w:cs="Arial"/>
          <w:sz w:val="16"/>
          <w:szCs w:val="16"/>
        </w:rPr>
        <w:t xml:space="preserve">jednoduše </w:t>
      </w:r>
      <w:r w:rsidRPr="0083047F">
        <w:rPr>
          <w:rFonts w:ascii="Arial" w:hAnsi="Arial" w:cs="Arial"/>
          <w:sz w:val="16"/>
          <w:szCs w:val="16"/>
        </w:rPr>
        <w:t>neexistuje. Těmto subjektům totiž není v jiných zemích dán žádný prostor pro provozování této nelegální činnosti</w:t>
      </w:r>
      <w:r w:rsidR="00D27ED4">
        <w:rPr>
          <w:rFonts w:ascii="Arial" w:hAnsi="Arial" w:cs="Arial"/>
          <w:sz w:val="16"/>
          <w:szCs w:val="16"/>
        </w:rPr>
        <w:t>,</w:t>
      </w:r>
      <w:r w:rsidRPr="0083047F">
        <w:rPr>
          <w:rFonts w:ascii="Arial" w:hAnsi="Arial" w:cs="Arial"/>
          <w:sz w:val="16"/>
          <w:szCs w:val="16"/>
        </w:rPr>
        <w:t xml:space="preserve"> ať již v důsledku aktivního působení regulačních státních orgánů anebo obecněji kvalitou právních předpisů včetně kontroly jejich dodržování</w:t>
      </w:r>
      <w:r w:rsidR="0039353B" w:rsidRPr="0083047F">
        <w:rPr>
          <w:rFonts w:ascii="Arial" w:hAnsi="Arial" w:cs="Arial"/>
          <w:sz w:val="16"/>
          <w:szCs w:val="16"/>
        </w:rPr>
        <w:t>.</w:t>
      </w:r>
      <w:r w:rsidRPr="0083047F"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05F1A245" w14:textId="611BF4A8" w:rsidR="001246F8" w:rsidRPr="001246F8" w:rsidRDefault="006F0D99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 w:rsidR="00007619">
        <w:rPr>
          <w:rFonts w:ascii="Arial" w:hAnsi="Arial" w:cs="Arial"/>
          <w:sz w:val="16"/>
          <w:szCs w:val="16"/>
        </w:rPr>
        <w:t xml:space="preserve"> </w:t>
      </w:r>
      <w:r w:rsidR="001246F8">
        <w:rPr>
          <w:rFonts w:ascii="Arial" w:hAnsi="Arial" w:cs="Arial"/>
          <w:sz w:val="16"/>
          <w:szCs w:val="16"/>
        </w:rPr>
        <w:t xml:space="preserve">Je </w:t>
      </w:r>
      <w:r>
        <w:rPr>
          <w:rFonts w:ascii="Arial" w:hAnsi="Arial" w:cs="Arial"/>
          <w:sz w:val="16"/>
          <w:szCs w:val="16"/>
        </w:rPr>
        <w:t xml:space="preserve">naprosto </w:t>
      </w:r>
      <w:r w:rsidR="001246F8">
        <w:rPr>
          <w:rFonts w:ascii="Arial" w:hAnsi="Arial" w:cs="Arial"/>
          <w:sz w:val="16"/>
          <w:szCs w:val="16"/>
        </w:rPr>
        <w:t xml:space="preserve">nemožné </w:t>
      </w:r>
      <w:r w:rsidR="00F35483">
        <w:rPr>
          <w:rFonts w:ascii="Arial" w:hAnsi="Arial" w:cs="Arial"/>
          <w:sz w:val="16"/>
          <w:szCs w:val="16"/>
        </w:rPr>
        <w:t xml:space="preserve">jakýmkoliv způsobem </w:t>
      </w:r>
      <w:bookmarkStart w:id="0" w:name="_GoBack"/>
      <w:bookmarkEnd w:id="0"/>
      <w:r w:rsidR="001246F8" w:rsidRPr="001246F8">
        <w:rPr>
          <w:rFonts w:ascii="Arial" w:hAnsi="Arial" w:cs="Arial"/>
          <w:sz w:val="16"/>
          <w:szCs w:val="16"/>
        </w:rPr>
        <w:t>nutit</w:t>
      </w:r>
      <w:r w:rsidR="001246F8">
        <w:rPr>
          <w:rFonts w:ascii="Arial" w:hAnsi="Arial" w:cs="Arial"/>
          <w:sz w:val="16"/>
          <w:szCs w:val="16"/>
        </w:rPr>
        <w:t xml:space="preserve"> MNO poskytovat velkoobchodní služby pod své vlastní náklady.</w:t>
      </w:r>
      <w:r w:rsidR="001246F8" w:rsidRPr="001246F8">
        <w:rPr>
          <w:rFonts w:ascii="Arial" w:hAnsi="Arial" w:cs="Arial"/>
          <w:sz w:val="16"/>
          <w:szCs w:val="16"/>
        </w:rPr>
        <w:t xml:space="preserve"> </w:t>
      </w:r>
    </w:p>
  </w:footnote>
  <w:footnote w:id="6">
    <w:p w14:paraId="3EFE57B9" w14:textId="0CE7A3AE" w:rsidR="000B5C90" w:rsidRPr="000B5C90" w:rsidRDefault="000B5C90">
      <w:pPr>
        <w:pStyle w:val="Textpoznpodarou"/>
        <w:rPr>
          <w:rFonts w:ascii="Arial" w:hAnsi="Arial" w:cs="Arial"/>
          <w:sz w:val="16"/>
          <w:szCs w:val="16"/>
        </w:rPr>
      </w:pPr>
      <w:r w:rsidRPr="000B5C90">
        <w:rPr>
          <w:rStyle w:val="Znakapoznpodarou"/>
          <w:rFonts w:ascii="Arial" w:hAnsi="Arial" w:cs="Arial"/>
          <w:sz w:val="16"/>
          <w:szCs w:val="16"/>
        </w:rPr>
        <w:footnoteRef/>
      </w:r>
      <w:r w:rsidR="00007619">
        <w:rPr>
          <w:rFonts w:ascii="Arial" w:hAnsi="Arial" w:cs="Arial"/>
          <w:sz w:val="16"/>
          <w:szCs w:val="16"/>
        </w:rPr>
        <w:t xml:space="preserve"> </w:t>
      </w:r>
      <w:r w:rsidRPr="000B5C90">
        <w:rPr>
          <w:rFonts w:ascii="Arial" w:hAnsi="Arial" w:cs="Arial"/>
          <w:sz w:val="16"/>
          <w:szCs w:val="16"/>
        </w:rPr>
        <w:t xml:space="preserve">Ano, toto </w:t>
      </w:r>
      <w:r w:rsidR="006F0D99">
        <w:rPr>
          <w:rFonts w:ascii="Arial" w:hAnsi="Arial" w:cs="Arial"/>
          <w:sz w:val="16"/>
          <w:szCs w:val="16"/>
        </w:rPr>
        <w:t xml:space="preserve">je ze strany </w:t>
      </w:r>
      <w:r>
        <w:rPr>
          <w:rFonts w:ascii="Arial" w:hAnsi="Arial" w:cs="Arial"/>
          <w:sz w:val="16"/>
          <w:szCs w:val="16"/>
        </w:rPr>
        <w:t xml:space="preserve">ČTÚ zcela přesný popis </w:t>
      </w:r>
      <w:r w:rsidRPr="000B5C90">
        <w:rPr>
          <w:rFonts w:ascii="Arial" w:hAnsi="Arial" w:cs="Arial"/>
          <w:sz w:val="16"/>
          <w:szCs w:val="16"/>
        </w:rPr>
        <w:t>dnešní situace na firemním segmentu</w:t>
      </w:r>
      <w:r>
        <w:rPr>
          <w:rFonts w:ascii="Arial" w:hAnsi="Arial" w:cs="Arial"/>
          <w:sz w:val="16"/>
          <w:szCs w:val="16"/>
        </w:rPr>
        <w:t>.</w:t>
      </w:r>
      <w:r w:rsidRPr="000B5C90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39FB4A6B" w14:textId="6D768A5D" w:rsidR="0039353B" w:rsidRPr="0083047F" w:rsidRDefault="0039353B" w:rsidP="0083047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3047F">
        <w:rPr>
          <w:rStyle w:val="Znakapoznpodarou"/>
          <w:rFonts w:ascii="Arial" w:hAnsi="Arial" w:cs="Arial"/>
          <w:sz w:val="18"/>
          <w:szCs w:val="18"/>
        </w:rPr>
        <w:footnoteRef/>
      </w:r>
      <w:r w:rsidRPr="0083047F">
        <w:rPr>
          <w:rFonts w:ascii="Arial" w:hAnsi="Arial" w:cs="Arial"/>
          <w:sz w:val="18"/>
          <w:szCs w:val="18"/>
        </w:rPr>
        <w:t xml:space="preserve"> </w:t>
      </w:r>
      <w:r w:rsidRPr="00D27ED4">
        <w:rPr>
          <w:rFonts w:ascii="Arial" w:hAnsi="Arial" w:cs="Arial"/>
          <w:sz w:val="18"/>
          <w:szCs w:val="18"/>
        </w:rPr>
        <w:t>U</w:t>
      </w:r>
      <w:r w:rsidRPr="0083047F">
        <w:rPr>
          <w:rFonts w:ascii="Arial" w:hAnsi="Arial" w:cs="Arial"/>
          <w:sz w:val="18"/>
          <w:szCs w:val="18"/>
        </w:rPr>
        <w:t xml:space="preserve"> bankovních hypotečních sazeb se také měří zejména reálně poskytovaná úroková sazba, která je z mnoha důvodů nižší </w:t>
      </w:r>
      <w:r w:rsidRPr="00D27ED4">
        <w:rPr>
          <w:rFonts w:ascii="Arial" w:hAnsi="Arial" w:cs="Arial"/>
          <w:sz w:val="18"/>
          <w:szCs w:val="18"/>
        </w:rPr>
        <w:t xml:space="preserve">než nabízená „ceníková/pultová“ hypoteční úroková sazba, která je vždy vyšší </w:t>
      </w:r>
      <w:r w:rsidRPr="0083047F">
        <w:rPr>
          <w:rFonts w:ascii="Arial" w:hAnsi="Arial" w:cs="Arial"/>
          <w:sz w:val="18"/>
          <w:szCs w:val="18"/>
        </w:rPr>
        <w:t xml:space="preserve">a příliš </w:t>
      </w:r>
      <w:r w:rsidRPr="00D27ED4">
        <w:rPr>
          <w:rFonts w:ascii="Arial" w:hAnsi="Arial" w:cs="Arial"/>
          <w:sz w:val="18"/>
          <w:szCs w:val="18"/>
        </w:rPr>
        <w:t xml:space="preserve">se </w:t>
      </w:r>
      <w:r w:rsidRPr="0083047F">
        <w:rPr>
          <w:rFonts w:ascii="Arial" w:hAnsi="Arial" w:cs="Arial"/>
          <w:sz w:val="18"/>
          <w:szCs w:val="18"/>
        </w:rPr>
        <w:t>nesleduje</w:t>
      </w:r>
      <w:r w:rsidRPr="00D27ED4">
        <w:rPr>
          <w:rFonts w:ascii="Arial" w:hAnsi="Arial" w:cs="Arial"/>
          <w:sz w:val="18"/>
          <w:szCs w:val="18"/>
        </w:rPr>
        <w:t xml:space="preserve"> ani nevyhodnocuje z důvodu její malé vypovídací schopnosti neodrážející realitu na trhu.</w:t>
      </w:r>
    </w:p>
  </w:footnote>
  <w:footnote w:id="8">
    <w:p w14:paraId="63E2B40A" w14:textId="5AF13BB2" w:rsidR="00D055DA" w:rsidRPr="0083047F" w:rsidRDefault="00D055DA" w:rsidP="0083047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3047F">
        <w:rPr>
          <w:rStyle w:val="Znakapoznpodarou"/>
          <w:rFonts w:ascii="Arial" w:hAnsi="Arial" w:cs="Arial"/>
          <w:sz w:val="18"/>
          <w:szCs w:val="18"/>
        </w:rPr>
        <w:footnoteRef/>
      </w:r>
      <w:r w:rsidRPr="0083047F">
        <w:rPr>
          <w:rFonts w:ascii="Arial" w:hAnsi="Arial" w:cs="Arial"/>
          <w:sz w:val="18"/>
          <w:szCs w:val="18"/>
        </w:rPr>
        <w:t xml:space="preserve"> Tato </w:t>
      </w:r>
      <w:r>
        <w:rPr>
          <w:rFonts w:ascii="Arial" w:hAnsi="Arial" w:cs="Arial"/>
          <w:sz w:val="18"/>
          <w:szCs w:val="18"/>
        </w:rPr>
        <w:t xml:space="preserve">maloobchodní </w:t>
      </w:r>
      <w:r w:rsidRPr="0083047F">
        <w:rPr>
          <w:rFonts w:ascii="Arial" w:hAnsi="Arial" w:cs="Arial"/>
          <w:sz w:val="18"/>
          <w:szCs w:val="18"/>
        </w:rPr>
        <w:t xml:space="preserve">nabídka MVNO </w:t>
      </w:r>
      <w:r>
        <w:rPr>
          <w:rFonts w:ascii="Arial" w:hAnsi="Arial" w:cs="Arial"/>
          <w:sz w:val="18"/>
          <w:szCs w:val="18"/>
        </w:rPr>
        <w:t xml:space="preserve">vychází z </w:t>
      </w:r>
      <w:r w:rsidRPr="0083047F">
        <w:rPr>
          <w:rFonts w:ascii="Arial" w:hAnsi="Arial" w:cs="Arial"/>
          <w:sz w:val="18"/>
          <w:szCs w:val="18"/>
        </w:rPr>
        <w:t xml:space="preserve">uzavřené </w:t>
      </w:r>
      <w:r w:rsidRPr="004006E8">
        <w:rPr>
          <w:rFonts w:ascii="Arial" w:hAnsi="Arial" w:cs="Arial"/>
          <w:sz w:val="18"/>
          <w:szCs w:val="18"/>
        </w:rPr>
        <w:t>komerční velkoobchodní smlouvy</w:t>
      </w:r>
      <w:r w:rsidRPr="0083047F">
        <w:rPr>
          <w:rFonts w:ascii="Arial" w:hAnsi="Arial" w:cs="Arial"/>
          <w:sz w:val="18"/>
          <w:szCs w:val="18"/>
        </w:rPr>
        <w:t xml:space="preserve"> mezi společností </w:t>
      </w:r>
      <w:proofErr w:type="spellStart"/>
      <w:r>
        <w:rPr>
          <w:rFonts w:ascii="Arial" w:hAnsi="Arial" w:cs="Arial"/>
          <w:sz w:val="18"/>
          <w:szCs w:val="18"/>
        </w:rPr>
        <w:t>Moraviatel</w:t>
      </w:r>
      <w:proofErr w:type="spellEnd"/>
      <w:r>
        <w:rPr>
          <w:rFonts w:ascii="Arial" w:hAnsi="Arial" w:cs="Arial"/>
          <w:sz w:val="18"/>
          <w:szCs w:val="18"/>
        </w:rPr>
        <w:t xml:space="preserve"> a.s. </w:t>
      </w:r>
      <w:r w:rsidRPr="0083047F">
        <w:rPr>
          <w:rFonts w:ascii="Arial" w:hAnsi="Arial" w:cs="Arial"/>
          <w:sz w:val="18"/>
          <w:szCs w:val="18"/>
        </w:rPr>
        <w:t>a společností O2</w:t>
      </w:r>
      <w:r w:rsidRPr="004006E8">
        <w:rPr>
          <w:rFonts w:ascii="Arial" w:hAnsi="Arial" w:cs="Arial"/>
          <w:sz w:val="18"/>
          <w:szCs w:val="18"/>
        </w:rPr>
        <w:t xml:space="preserve"> Czech Republic a.s.</w:t>
      </w:r>
    </w:p>
  </w:footnote>
  <w:footnote w:id="9">
    <w:p w14:paraId="55D6EC28" w14:textId="77777777" w:rsidR="00FF60C0" w:rsidRPr="00E6618D" w:rsidRDefault="00FF60C0" w:rsidP="00FB62E6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ascii="Arial" w:hAnsi="Arial" w:cs="Arial"/>
          <w:sz w:val="18"/>
          <w:szCs w:val="18"/>
        </w:rPr>
        <w:t xml:space="preserve">V případě zaslání tohoto formuláře elektronickou poštou nutno </w:t>
      </w:r>
      <w:r>
        <w:rPr>
          <w:rFonts w:ascii="Arial" w:hAnsi="Arial" w:cs="Arial"/>
          <w:sz w:val="18"/>
          <w:szCs w:val="18"/>
        </w:rPr>
        <w:t>opatřit</w:t>
      </w:r>
      <w:r w:rsidRPr="00E6618D">
        <w:rPr>
          <w:rFonts w:ascii="Arial" w:hAnsi="Arial" w:cs="Arial"/>
          <w:sz w:val="18"/>
          <w:szCs w:val="18"/>
        </w:rPr>
        <w:t xml:space="preserve"> příslušnou datovou zprávu</w:t>
      </w:r>
      <w:r>
        <w:rPr>
          <w:rFonts w:ascii="Arial" w:hAnsi="Arial" w:cs="Arial"/>
          <w:sz w:val="18"/>
          <w:szCs w:val="18"/>
        </w:rPr>
        <w:t xml:space="preserve"> uznávaným</w:t>
      </w:r>
      <w:r w:rsidRPr="00E6618D">
        <w:rPr>
          <w:rFonts w:ascii="Arial" w:hAnsi="Arial" w:cs="Arial"/>
          <w:sz w:val="18"/>
          <w:szCs w:val="18"/>
        </w:rPr>
        <w:t xml:space="preserve"> elektronickým podpisem.</w:t>
      </w:r>
    </w:p>
    <w:p w14:paraId="312E939F" w14:textId="77777777" w:rsidR="00FF60C0" w:rsidRPr="00E6618D" w:rsidRDefault="00FF60C0" w:rsidP="00FB62E6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943F3" w14:textId="128CB671" w:rsidR="00D27890" w:rsidRDefault="00D2789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B3FCADE" wp14:editId="7787A149">
          <wp:simplePos x="0" y="0"/>
          <wp:positionH relativeFrom="margin">
            <wp:align>center</wp:align>
          </wp:positionH>
          <wp:positionV relativeFrom="page">
            <wp:posOffset>448945</wp:posOffset>
          </wp:positionV>
          <wp:extent cx="513080" cy="504190"/>
          <wp:effectExtent l="0" t="0" r="1270" b="0"/>
          <wp:wrapNone/>
          <wp:docPr id="4" name="Picture 28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15C"/>
    <w:multiLevelType w:val="hybridMultilevel"/>
    <w:tmpl w:val="E80A74C0"/>
    <w:lvl w:ilvl="0" w:tplc="02CA4C0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C2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05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E64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E7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2E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0F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05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E0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8796A"/>
    <w:multiLevelType w:val="hybridMultilevel"/>
    <w:tmpl w:val="4B288DA4"/>
    <w:lvl w:ilvl="0" w:tplc="4614C7E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005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46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C3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2B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01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22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20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66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17C79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667717"/>
    <w:multiLevelType w:val="singleLevel"/>
    <w:tmpl w:val="28AEE6BE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602764"/>
    <w:multiLevelType w:val="hybridMultilevel"/>
    <w:tmpl w:val="9E7A3C2A"/>
    <w:lvl w:ilvl="0" w:tplc="E14A85B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E9496">
      <w:numFmt w:val="bullet"/>
      <w:lvlText w:val="-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6255F"/>
    <w:multiLevelType w:val="hybridMultilevel"/>
    <w:tmpl w:val="A8844DDE"/>
    <w:lvl w:ilvl="0" w:tplc="E020C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0439B"/>
    <w:multiLevelType w:val="hybridMultilevel"/>
    <w:tmpl w:val="6BC25620"/>
    <w:lvl w:ilvl="0" w:tplc="CEC4EB7A">
      <w:numFmt w:val="bullet"/>
      <w:lvlText w:val="-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B5B0182"/>
    <w:multiLevelType w:val="hybridMultilevel"/>
    <w:tmpl w:val="309A0696"/>
    <w:lvl w:ilvl="0" w:tplc="73C0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2A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2E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666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EB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80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D67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67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44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856EFE"/>
    <w:multiLevelType w:val="hybridMultilevel"/>
    <w:tmpl w:val="DB84ED0E"/>
    <w:lvl w:ilvl="0" w:tplc="8992363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C54FE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63079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0F602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1A49A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D2E6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CA073F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F007A6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C2B6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E860FED"/>
    <w:multiLevelType w:val="hybridMultilevel"/>
    <w:tmpl w:val="7618F56A"/>
    <w:lvl w:ilvl="0" w:tplc="B8AA04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70C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0C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78A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2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09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A0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E0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32481"/>
    <w:multiLevelType w:val="hybridMultilevel"/>
    <w:tmpl w:val="3F98081E"/>
    <w:lvl w:ilvl="0" w:tplc="E020C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23" w15:restartNumberingAfterBreak="0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C2560B"/>
    <w:multiLevelType w:val="hybridMultilevel"/>
    <w:tmpl w:val="58A2A352"/>
    <w:lvl w:ilvl="0" w:tplc="72B041C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AFAF526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48A675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685AE6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A0A67B8E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5CCECD5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AE440E12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4A040CA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55E6DE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F34334"/>
    <w:multiLevelType w:val="hybridMultilevel"/>
    <w:tmpl w:val="E39C83F6"/>
    <w:lvl w:ilvl="0" w:tplc="3468F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6F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CB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AA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69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61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A9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2A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DCE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957BA"/>
    <w:multiLevelType w:val="hybridMultilevel"/>
    <w:tmpl w:val="8966889A"/>
    <w:lvl w:ilvl="0" w:tplc="6226B05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CEA68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1E2AF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93A3C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F2AB0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CC00B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AEA48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A6C34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6D647F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67418F"/>
    <w:multiLevelType w:val="hybridMultilevel"/>
    <w:tmpl w:val="0AE422CE"/>
    <w:lvl w:ilvl="0" w:tplc="AD68DDB0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5C1C0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A6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63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C0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8EB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C4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2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03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DB2524"/>
    <w:multiLevelType w:val="hybridMultilevel"/>
    <w:tmpl w:val="0DB2E918"/>
    <w:lvl w:ilvl="0" w:tplc="DA241C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F010F0A"/>
    <w:multiLevelType w:val="hybridMultilevel"/>
    <w:tmpl w:val="6024AB8A"/>
    <w:lvl w:ilvl="0" w:tplc="48EE6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A567B1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83223B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2088A8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BB0059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514113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CC2BFE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0C4F8B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4EC107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2"/>
  </w:num>
  <w:num w:numId="2">
    <w:abstractNumId w:val="13"/>
  </w:num>
  <w:num w:numId="3">
    <w:abstractNumId w:val="30"/>
  </w:num>
  <w:num w:numId="4">
    <w:abstractNumId w:val="8"/>
  </w:num>
  <w:num w:numId="5">
    <w:abstractNumId w:val="29"/>
  </w:num>
  <w:num w:numId="6">
    <w:abstractNumId w:val="33"/>
  </w:num>
  <w:num w:numId="7">
    <w:abstractNumId w:val="9"/>
  </w:num>
  <w:num w:numId="8">
    <w:abstractNumId w:val="6"/>
  </w:num>
  <w:num w:numId="9">
    <w:abstractNumId w:val="21"/>
  </w:num>
  <w:num w:numId="10">
    <w:abstractNumId w:val="5"/>
  </w:num>
  <w:num w:numId="11">
    <w:abstractNumId w:val="24"/>
  </w:num>
  <w:num w:numId="12">
    <w:abstractNumId w:val="14"/>
  </w:num>
  <w:num w:numId="13">
    <w:abstractNumId w:val="32"/>
  </w:num>
  <w:num w:numId="14">
    <w:abstractNumId w:val="22"/>
  </w:num>
  <w:num w:numId="15">
    <w:abstractNumId w:val="27"/>
  </w:num>
  <w:num w:numId="16">
    <w:abstractNumId w:val="7"/>
  </w:num>
  <w:num w:numId="17">
    <w:abstractNumId w:val="38"/>
  </w:num>
  <w:num w:numId="18">
    <w:abstractNumId w:val="37"/>
  </w:num>
  <w:num w:numId="19">
    <w:abstractNumId w:val="40"/>
  </w:num>
  <w:num w:numId="20">
    <w:abstractNumId w:val="23"/>
  </w:num>
  <w:num w:numId="21">
    <w:abstractNumId w:val="19"/>
  </w:num>
  <w:num w:numId="22">
    <w:abstractNumId w:val="26"/>
  </w:num>
  <w:num w:numId="23">
    <w:abstractNumId w:val="20"/>
  </w:num>
  <w:num w:numId="24">
    <w:abstractNumId w:val="1"/>
  </w:num>
  <w:num w:numId="25">
    <w:abstractNumId w:val="34"/>
  </w:num>
  <w:num w:numId="26">
    <w:abstractNumId w:val="15"/>
  </w:num>
  <w:num w:numId="27">
    <w:abstractNumId w:val="25"/>
  </w:num>
  <w:num w:numId="28">
    <w:abstractNumId w:val="17"/>
  </w:num>
  <w:num w:numId="29">
    <w:abstractNumId w:val="0"/>
  </w:num>
  <w:num w:numId="30">
    <w:abstractNumId w:val="2"/>
  </w:num>
  <w:num w:numId="31">
    <w:abstractNumId w:val="16"/>
  </w:num>
  <w:num w:numId="32">
    <w:abstractNumId w:val="3"/>
  </w:num>
  <w:num w:numId="33">
    <w:abstractNumId w:val="35"/>
  </w:num>
  <w:num w:numId="34">
    <w:abstractNumId w:val="31"/>
  </w:num>
  <w:num w:numId="35">
    <w:abstractNumId w:val="18"/>
  </w:num>
  <w:num w:numId="36">
    <w:abstractNumId w:val="28"/>
  </w:num>
  <w:num w:numId="37">
    <w:abstractNumId w:val="39"/>
  </w:num>
  <w:num w:numId="38">
    <w:abstractNumId w:val="36"/>
  </w:num>
  <w:num w:numId="39">
    <w:abstractNumId w:val="10"/>
  </w:num>
  <w:num w:numId="40">
    <w:abstractNumId w:val="12"/>
  </w:num>
  <w:num w:numId="41">
    <w:abstractNumId w:val="4"/>
  </w:num>
  <w:num w:numId="42">
    <w:abstractNumId w:val="4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2D"/>
    <w:rsid w:val="000002D1"/>
    <w:rsid w:val="00003231"/>
    <w:rsid w:val="00007619"/>
    <w:rsid w:val="00013F38"/>
    <w:rsid w:val="00015FD4"/>
    <w:rsid w:val="0002076A"/>
    <w:rsid w:val="00024677"/>
    <w:rsid w:val="000254C9"/>
    <w:rsid w:val="0004578D"/>
    <w:rsid w:val="00047F1D"/>
    <w:rsid w:val="00050E29"/>
    <w:rsid w:val="000627F1"/>
    <w:rsid w:val="0006718D"/>
    <w:rsid w:val="000708B5"/>
    <w:rsid w:val="000759FE"/>
    <w:rsid w:val="00082320"/>
    <w:rsid w:val="00094D2A"/>
    <w:rsid w:val="000A148D"/>
    <w:rsid w:val="000A7189"/>
    <w:rsid w:val="000B5C90"/>
    <w:rsid w:val="000C1F0F"/>
    <w:rsid w:val="000C4273"/>
    <w:rsid w:val="000C6B62"/>
    <w:rsid w:val="000E1897"/>
    <w:rsid w:val="000F6F27"/>
    <w:rsid w:val="00105114"/>
    <w:rsid w:val="00110605"/>
    <w:rsid w:val="00111C47"/>
    <w:rsid w:val="00117A9A"/>
    <w:rsid w:val="001235D8"/>
    <w:rsid w:val="001246F8"/>
    <w:rsid w:val="00151122"/>
    <w:rsid w:val="00156761"/>
    <w:rsid w:val="001700E4"/>
    <w:rsid w:val="00172892"/>
    <w:rsid w:val="00175149"/>
    <w:rsid w:val="00175755"/>
    <w:rsid w:val="00176391"/>
    <w:rsid w:val="00186E85"/>
    <w:rsid w:val="0019225D"/>
    <w:rsid w:val="001941E4"/>
    <w:rsid w:val="001A424B"/>
    <w:rsid w:val="001C325C"/>
    <w:rsid w:val="001D406F"/>
    <w:rsid w:val="001E4B09"/>
    <w:rsid w:val="001F1EAC"/>
    <w:rsid w:val="001F587B"/>
    <w:rsid w:val="00203F2F"/>
    <w:rsid w:val="00205027"/>
    <w:rsid w:val="00212DEE"/>
    <w:rsid w:val="002141F7"/>
    <w:rsid w:val="00214D0D"/>
    <w:rsid w:val="00215A91"/>
    <w:rsid w:val="002225AD"/>
    <w:rsid w:val="00232BD1"/>
    <w:rsid w:val="00233AA7"/>
    <w:rsid w:val="00260694"/>
    <w:rsid w:val="002624B8"/>
    <w:rsid w:val="002658B4"/>
    <w:rsid w:val="00265D7D"/>
    <w:rsid w:val="002706B1"/>
    <w:rsid w:val="002721B1"/>
    <w:rsid w:val="002764D8"/>
    <w:rsid w:val="00281F22"/>
    <w:rsid w:val="00284F7B"/>
    <w:rsid w:val="00286B01"/>
    <w:rsid w:val="002959D1"/>
    <w:rsid w:val="00297B50"/>
    <w:rsid w:val="002B1CDF"/>
    <w:rsid w:val="002B493C"/>
    <w:rsid w:val="002B7CDF"/>
    <w:rsid w:val="002C003B"/>
    <w:rsid w:val="002C1223"/>
    <w:rsid w:val="002C51A0"/>
    <w:rsid w:val="002C5EB8"/>
    <w:rsid w:val="002D7281"/>
    <w:rsid w:val="002E3579"/>
    <w:rsid w:val="002F4A0D"/>
    <w:rsid w:val="0030272A"/>
    <w:rsid w:val="00303CA8"/>
    <w:rsid w:val="00305E6C"/>
    <w:rsid w:val="00307530"/>
    <w:rsid w:val="00312175"/>
    <w:rsid w:val="00312321"/>
    <w:rsid w:val="003130EC"/>
    <w:rsid w:val="003167BD"/>
    <w:rsid w:val="00316C30"/>
    <w:rsid w:val="00327014"/>
    <w:rsid w:val="00327864"/>
    <w:rsid w:val="00342135"/>
    <w:rsid w:val="00350365"/>
    <w:rsid w:val="00353372"/>
    <w:rsid w:val="00353FB8"/>
    <w:rsid w:val="0035581C"/>
    <w:rsid w:val="00357170"/>
    <w:rsid w:val="003760F9"/>
    <w:rsid w:val="0039253A"/>
    <w:rsid w:val="0039353B"/>
    <w:rsid w:val="00393E48"/>
    <w:rsid w:val="003A3D5B"/>
    <w:rsid w:val="003C0A51"/>
    <w:rsid w:val="003C3D96"/>
    <w:rsid w:val="003D0AD9"/>
    <w:rsid w:val="003D3243"/>
    <w:rsid w:val="003D669C"/>
    <w:rsid w:val="003D7FAB"/>
    <w:rsid w:val="003E2644"/>
    <w:rsid w:val="003E521A"/>
    <w:rsid w:val="003F213C"/>
    <w:rsid w:val="004006E8"/>
    <w:rsid w:val="00406E66"/>
    <w:rsid w:val="0041401D"/>
    <w:rsid w:val="00430AB7"/>
    <w:rsid w:val="00437E2F"/>
    <w:rsid w:val="00442787"/>
    <w:rsid w:val="00457AFB"/>
    <w:rsid w:val="004631BF"/>
    <w:rsid w:val="004752E6"/>
    <w:rsid w:val="00482794"/>
    <w:rsid w:val="004947CD"/>
    <w:rsid w:val="00495622"/>
    <w:rsid w:val="004A2C9E"/>
    <w:rsid w:val="004C1F1B"/>
    <w:rsid w:val="004C5659"/>
    <w:rsid w:val="004D6706"/>
    <w:rsid w:val="004E04B6"/>
    <w:rsid w:val="004E7D56"/>
    <w:rsid w:val="004F2CEF"/>
    <w:rsid w:val="004F7E1B"/>
    <w:rsid w:val="00507FD8"/>
    <w:rsid w:val="00523853"/>
    <w:rsid w:val="00524C1C"/>
    <w:rsid w:val="005410A5"/>
    <w:rsid w:val="00552F3F"/>
    <w:rsid w:val="00556702"/>
    <w:rsid w:val="00582DF3"/>
    <w:rsid w:val="00584F9B"/>
    <w:rsid w:val="005A371B"/>
    <w:rsid w:val="005A691B"/>
    <w:rsid w:val="005B65B8"/>
    <w:rsid w:val="005C5801"/>
    <w:rsid w:val="005D6257"/>
    <w:rsid w:val="005E1069"/>
    <w:rsid w:val="005E1596"/>
    <w:rsid w:val="005E46F9"/>
    <w:rsid w:val="005F472B"/>
    <w:rsid w:val="005F73BF"/>
    <w:rsid w:val="00600766"/>
    <w:rsid w:val="00600EED"/>
    <w:rsid w:val="0060174C"/>
    <w:rsid w:val="00602A3B"/>
    <w:rsid w:val="0060783D"/>
    <w:rsid w:val="0061396F"/>
    <w:rsid w:val="00625CBF"/>
    <w:rsid w:val="00631E90"/>
    <w:rsid w:val="006323C6"/>
    <w:rsid w:val="00633455"/>
    <w:rsid w:val="006356CF"/>
    <w:rsid w:val="006464DE"/>
    <w:rsid w:val="00646AEF"/>
    <w:rsid w:val="00656863"/>
    <w:rsid w:val="00663EEB"/>
    <w:rsid w:val="00672046"/>
    <w:rsid w:val="0068548A"/>
    <w:rsid w:val="00691C59"/>
    <w:rsid w:val="006A2653"/>
    <w:rsid w:val="006B29A9"/>
    <w:rsid w:val="006B7494"/>
    <w:rsid w:val="006C4E66"/>
    <w:rsid w:val="006C59C5"/>
    <w:rsid w:val="006D009D"/>
    <w:rsid w:val="006D5024"/>
    <w:rsid w:val="006D5F3F"/>
    <w:rsid w:val="006E4884"/>
    <w:rsid w:val="006E5666"/>
    <w:rsid w:val="006F0D99"/>
    <w:rsid w:val="006F1D78"/>
    <w:rsid w:val="006F23FC"/>
    <w:rsid w:val="006F26B6"/>
    <w:rsid w:val="006F2DFA"/>
    <w:rsid w:val="007033D4"/>
    <w:rsid w:val="007036C4"/>
    <w:rsid w:val="0070527F"/>
    <w:rsid w:val="00705F81"/>
    <w:rsid w:val="00712F5F"/>
    <w:rsid w:val="00713561"/>
    <w:rsid w:val="00736BF5"/>
    <w:rsid w:val="007403AF"/>
    <w:rsid w:val="00741323"/>
    <w:rsid w:val="007421C5"/>
    <w:rsid w:val="0074532A"/>
    <w:rsid w:val="00747CF7"/>
    <w:rsid w:val="0075597A"/>
    <w:rsid w:val="00763A33"/>
    <w:rsid w:val="00770438"/>
    <w:rsid w:val="00772088"/>
    <w:rsid w:val="00776515"/>
    <w:rsid w:val="007767E3"/>
    <w:rsid w:val="0079519F"/>
    <w:rsid w:val="007A6586"/>
    <w:rsid w:val="007B29F4"/>
    <w:rsid w:val="007B4D36"/>
    <w:rsid w:val="007C0811"/>
    <w:rsid w:val="007D13AE"/>
    <w:rsid w:val="007D27B7"/>
    <w:rsid w:val="007D479E"/>
    <w:rsid w:val="007E7273"/>
    <w:rsid w:val="007F15A5"/>
    <w:rsid w:val="007F4C38"/>
    <w:rsid w:val="00801004"/>
    <w:rsid w:val="008047D0"/>
    <w:rsid w:val="008067E0"/>
    <w:rsid w:val="0081340D"/>
    <w:rsid w:val="00813E9F"/>
    <w:rsid w:val="00825F0F"/>
    <w:rsid w:val="0083047F"/>
    <w:rsid w:val="00846904"/>
    <w:rsid w:val="00847B23"/>
    <w:rsid w:val="008521AE"/>
    <w:rsid w:val="00855FB0"/>
    <w:rsid w:val="008762E2"/>
    <w:rsid w:val="00890FA2"/>
    <w:rsid w:val="00891419"/>
    <w:rsid w:val="008924D5"/>
    <w:rsid w:val="008B7B90"/>
    <w:rsid w:val="008C4954"/>
    <w:rsid w:val="008D460E"/>
    <w:rsid w:val="008D48CD"/>
    <w:rsid w:val="008E0AC6"/>
    <w:rsid w:val="008E2946"/>
    <w:rsid w:val="008E3F7E"/>
    <w:rsid w:val="008E58B0"/>
    <w:rsid w:val="008F1915"/>
    <w:rsid w:val="008F406B"/>
    <w:rsid w:val="008F5B97"/>
    <w:rsid w:val="008F6AB0"/>
    <w:rsid w:val="00924364"/>
    <w:rsid w:val="00931944"/>
    <w:rsid w:val="009333B6"/>
    <w:rsid w:val="00943F10"/>
    <w:rsid w:val="00950727"/>
    <w:rsid w:val="009511B3"/>
    <w:rsid w:val="009524A0"/>
    <w:rsid w:val="00952E1E"/>
    <w:rsid w:val="00962485"/>
    <w:rsid w:val="0096736C"/>
    <w:rsid w:val="00967E81"/>
    <w:rsid w:val="00970841"/>
    <w:rsid w:val="009710A5"/>
    <w:rsid w:val="00971D96"/>
    <w:rsid w:val="00980B39"/>
    <w:rsid w:val="00986EE6"/>
    <w:rsid w:val="009976C8"/>
    <w:rsid w:val="00997CC5"/>
    <w:rsid w:val="009A0E0C"/>
    <w:rsid w:val="009C548B"/>
    <w:rsid w:val="009F2019"/>
    <w:rsid w:val="009F591A"/>
    <w:rsid w:val="009F78F4"/>
    <w:rsid w:val="00A04B32"/>
    <w:rsid w:val="00A14902"/>
    <w:rsid w:val="00A20731"/>
    <w:rsid w:val="00A526CC"/>
    <w:rsid w:val="00A767B1"/>
    <w:rsid w:val="00A81D3D"/>
    <w:rsid w:val="00A96406"/>
    <w:rsid w:val="00AA73AF"/>
    <w:rsid w:val="00AB0CD0"/>
    <w:rsid w:val="00AB470E"/>
    <w:rsid w:val="00AB7870"/>
    <w:rsid w:val="00AC16B8"/>
    <w:rsid w:val="00AC5C15"/>
    <w:rsid w:val="00AC6D67"/>
    <w:rsid w:val="00AE173F"/>
    <w:rsid w:val="00AE3F1C"/>
    <w:rsid w:val="00AE758D"/>
    <w:rsid w:val="00AF1E3C"/>
    <w:rsid w:val="00B10734"/>
    <w:rsid w:val="00B12A90"/>
    <w:rsid w:val="00B13681"/>
    <w:rsid w:val="00B136D8"/>
    <w:rsid w:val="00B15137"/>
    <w:rsid w:val="00B24F5A"/>
    <w:rsid w:val="00B25CEF"/>
    <w:rsid w:val="00B37E52"/>
    <w:rsid w:val="00B4010C"/>
    <w:rsid w:val="00B44D48"/>
    <w:rsid w:val="00B674F6"/>
    <w:rsid w:val="00B8543C"/>
    <w:rsid w:val="00B927BE"/>
    <w:rsid w:val="00BA2514"/>
    <w:rsid w:val="00BA4329"/>
    <w:rsid w:val="00BA601D"/>
    <w:rsid w:val="00BB2890"/>
    <w:rsid w:val="00BB3781"/>
    <w:rsid w:val="00BB6D16"/>
    <w:rsid w:val="00BC6BF8"/>
    <w:rsid w:val="00BD272D"/>
    <w:rsid w:val="00BD4535"/>
    <w:rsid w:val="00BD7383"/>
    <w:rsid w:val="00BE396A"/>
    <w:rsid w:val="00BE3ADB"/>
    <w:rsid w:val="00BF789F"/>
    <w:rsid w:val="00C01E11"/>
    <w:rsid w:val="00C02A03"/>
    <w:rsid w:val="00C02E08"/>
    <w:rsid w:val="00C032AF"/>
    <w:rsid w:val="00C05206"/>
    <w:rsid w:val="00C1097F"/>
    <w:rsid w:val="00C2275D"/>
    <w:rsid w:val="00C36FF6"/>
    <w:rsid w:val="00C56B15"/>
    <w:rsid w:val="00C57E11"/>
    <w:rsid w:val="00C60743"/>
    <w:rsid w:val="00C61637"/>
    <w:rsid w:val="00C85F85"/>
    <w:rsid w:val="00CB303B"/>
    <w:rsid w:val="00CD1F01"/>
    <w:rsid w:val="00CD71F0"/>
    <w:rsid w:val="00CE2F8F"/>
    <w:rsid w:val="00CE3BDF"/>
    <w:rsid w:val="00CF3C3E"/>
    <w:rsid w:val="00CF3D90"/>
    <w:rsid w:val="00CF6A9F"/>
    <w:rsid w:val="00CF6D1B"/>
    <w:rsid w:val="00CF7C3F"/>
    <w:rsid w:val="00D0113D"/>
    <w:rsid w:val="00D055DA"/>
    <w:rsid w:val="00D055DC"/>
    <w:rsid w:val="00D063BB"/>
    <w:rsid w:val="00D13949"/>
    <w:rsid w:val="00D153E7"/>
    <w:rsid w:val="00D1540A"/>
    <w:rsid w:val="00D159DD"/>
    <w:rsid w:val="00D27890"/>
    <w:rsid w:val="00D27ED4"/>
    <w:rsid w:val="00D3173F"/>
    <w:rsid w:val="00D446E4"/>
    <w:rsid w:val="00D533E3"/>
    <w:rsid w:val="00D57295"/>
    <w:rsid w:val="00D57965"/>
    <w:rsid w:val="00D775D3"/>
    <w:rsid w:val="00D84690"/>
    <w:rsid w:val="00D87A18"/>
    <w:rsid w:val="00D92711"/>
    <w:rsid w:val="00D9326E"/>
    <w:rsid w:val="00DA0D1C"/>
    <w:rsid w:val="00DA3D7E"/>
    <w:rsid w:val="00DB35BC"/>
    <w:rsid w:val="00DB6615"/>
    <w:rsid w:val="00DC38F6"/>
    <w:rsid w:val="00DC6B25"/>
    <w:rsid w:val="00DD05BD"/>
    <w:rsid w:val="00DD0C9D"/>
    <w:rsid w:val="00DD213F"/>
    <w:rsid w:val="00DD2895"/>
    <w:rsid w:val="00DE6128"/>
    <w:rsid w:val="00DE69AC"/>
    <w:rsid w:val="00DE78B4"/>
    <w:rsid w:val="00DF686F"/>
    <w:rsid w:val="00E02499"/>
    <w:rsid w:val="00E07791"/>
    <w:rsid w:val="00E11361"/>
    <w:rsid w:val="00E30A7F"/>
    <w:rsid w:val="00E37504"/>
    <w:rsid w:val="00E437D8"/>
    <w:rsid w:val="00E52330"/>
    <w:rsid w:val="00E52AC0"/>
    <w:rsid w:val="00E55353"/>
    <w:rsid w:val="00E56063"/>
    <w:rsid w:val="00E6618D"/>
    <w:rsid w:val="00E67861"/>
    <w:rsid w:val="00E74F06"/>
    <w:rsid w:val="00E75520"/>
    <w:rsid w:val="00E80BE4"/>
    <w:rsid w:val="00E8536A"/>
    <w:rsid w:val="00E86927"/>
    <w:rsid w:val="00E93867"/>
    <w:rsid w:val="00EA20A3"/>
    <w:rsid w:val="00EA2823"/>
    <w:rsid w:val="00EA5108"/>
    <w:rsid w:val="00EB029E"/>
    <w:rsid w:val="00EB741D"/>
    <w:rsid w:val="00EB7DE0"/>
    <w:rsid w:val="00EC42ED"/>
    <w:rsid w:val="00ED35C5"/>
    <w:rsid w:val="00EE71AF"/>
    <w:rsid w:val="00EF0B63"/>
    <w:rsid w:val="00EF23CF"/>
    <w:rsid w:val="00F01DC5"/>
    <w:rsid w:val="00F0631A"/>
    <w:rsid w:val="00F0648B"/>
    <w:rsid w:val="00F1345E"/>
    <w:rsid w:val="00F13B01"/>
    <w:rsid w:val="00F14BB7"/>
    <w:rsid w:val="00F26C67"/>
    <w:rsid w:val="00F35483"/>
    <w:rsid w:val="00F35A07"/>
    <w:rsid w:val="00F3766A"/>
    <w:rsid w:val="00F377D7"/>
    <w:rsid w:val="00F403AD"/>
    <w:rsid w:val="00F4511F"/>
    <w:rsid w:val="00F50FE9"/>
    <w:rsid w:val="00F52C9A"/>
    <w:rsid w:val="00F62D31"/>
    <w:rsid w:val="00F67DE9"/>
    <w:rsid w:val="00F74723"/>
    <w:rsid w:val="00F8053F"/>
    <w:rsid w:val="00F852FE"/>
    <w:rsid w:val="00F86798"/>
    <w:rsid w:val="00F86F8F"/>
    <w:rsid w:val="00F97071"/>
    <w:rsid w:val="00FA0A59"/>
    <w:rsid w:val="00FB37E5"/>
    <w:rsid w:val="00FB62E6"/>
    <w:rsid w:val="00FB78EB"/>
    <w:rsid w:val="00FC1518"/>
    <w:rsid w:val="00FD735C"/>
    <w:rsid w:val="00FE42FE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47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65D7D"/>
    <w:pPr>
      <w:keepNext/>
      <w:tabs>
        <w:tab w:val="left" w:pos="540"/>
        <w:tab w:val="right" w:pos="9000"/>
      </w:tabs>
      <w:jc w:val="both"/>
      <w:outlineLvl w:val="0"/>
    </w:pPr>
    <w:rPr>
      <w:rFonts w:ascii="Arial" w:hAnsi="Arial"/>
      <w:b/>
      <w:caps/>
    </w:rPr>
  </w:style>
  <w:style w:type="paragraph" w:styleId="Nadpis2">
    <w:name w:val="heading 2"/>
    <w:basedOn w:val="Normln"/>
    <w:next w:val="Normln"/>
    <w:qFormat/>
    <w:rsid w:val="00F74723"/>
    <w:pPr>
      <w:keepNext/>
      <w:numPr>
        <w:numId w:val="4"/>
      </w:numPr>
      <w:jc w:val="both"/>
      <w:outlineLvl w:val="1"/>
    </w:pPr>
    <w:rPr>
      <w:rFonts w:ascii="Arial" w:hAnsi="Arial"/>
      <w:b/>
      <w:smallCaps/>
      <w:sz w:val="2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C32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5C1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1DC5"/>
    <w:pPr>
      <w:ind w:left="720"/>
      <w:contextualSpacing/>
    </w:pPr>
  </w:style>
  <w:style w:type="character" w:styleId="Sledovanodkaz">
    <w:name w:val="FollowedHyperlink"/>
    <w:basedOn w:val="Standardnpsmoodstavce"/>
    <w:rsid w:val="00212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tecko.cz/trz/dokumenty/_cen_zame_4_11_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TXT/HTML/?uri=CELEX:32014H0710&amp;from=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IoG8fKSUN9KvhD+I0eNJLyD8YYgCd0467TfmV9SCNLA=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7mEKsHQKWsjxYymO2eZ3pgmYwp1/VKSETvYjRQ0x3rI=</DigestValue>
    </Reference>
  </SignedInfo>
  <SignatureValue>kR0bm8lYz4qSUJf1lbQA1aBqe7N6L/zAhO75bk9BMj7zJU5iAF+wT7A+svDyVfl9CjBuS2x0srr7
kSBihHddlmXE81VTohcCM879E3K4K0dtEOBbM9VACRdWmyyy4tRXB0KwdqA2ZlHmvbkdGlTFnSJK
7Sjtl1jv/Tl2eGrYAMhG9JeV859dhUNebmgQohrqGXg7vxFmmAs+Ul26WuyxlpUpOkGzm5bf4/6d
zRTbiIKO7ze/Zz0o0CUVUHkNfLZO4P8WgxLy/pUVGWqhraVvLIV3t99+HnlCYkiAQCe6AUZFbp7R
gokS6CovjSN9BVUMUmlpQQjP1la8ZyhUVp7a5g==</SignatureValue>
  <KeyInfo>
    <X509Data>
      <X509Certificate>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OMQR9KhRSKam8G/FsNkWS0xp1Z/MA0GCSqGSIb3DQEBCwUAA4IBAQCUMwjqOFu5UbWlr7yhxYj6sk7W/MO7YVdkdRbJPwE5usZlCT5ku5KgVY5YpV6tpnjfiN74D9YtZX6Vk8HtdfquP56FRop5vZHiJnTwfFsWPBzanEcAkQtvWs2QTPHjZNi/Jj45lPM5wRy8owGvrWsHiqIgOzx0nuPjVN8I+dvVRA2w7PWXVGAHJj2Mrv2PJQo6iKPiEX0SHT4Lrt4pa7azszbzjKqk+nV76N9/C0nvg3Y3edOMIV4bBiBAn+RaqixveiG4OMesenENYvJIxx4d+YtPDp2I5i2dnctog51S81WpngFeR2tFZxs+8mo2Iv97bQ7CdI/u2zkfL19G88C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obamg3WHOTUjjViSaP6gYA5kSl+qLk+d3D2LrhgDGUA=</DigestValue>
      </Reference>
      <Reference URI="/word/_rels/footnote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HCnTNV82sBHrINiR9PG0D0N2A64CoWdNIRIkJ/x0ayU=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Gi0SahYgMBBoGDYonmHFbMlmY/iTFDXiTs+7jr5ILzE=</DigestValue>
      </Reference>
      <Reference URI="/word/endnotes.xml?ContentType=application/vnd.openxmlformats-officedocument.wordprocessingml.endnotes+xml">
        <DigestMethod Algorithm="http://www.w3.org/2001/04/xmlenc#sha256"/>
        <DigestValue>SfTMnBikrX1Zbfoi9kKHthEmOi2KtC5/1ocuR28OvtI=</DigestValue>
      </Reference>
      <Reference URI="/word/fontTable.xml?ContentType=application/vnd.openxmlformats-officedocument.wordprocessingml.fontTable+xml">
        <DigestMethod Algorithm="http://www.w3.org/2001/04/xmlenc#sha256"/>
        <DigestValue>ADkNttVwp+57Ll4tyQNxINxc92Q25JpYXWejfZ1Gs0o=</DigestValue>
      </Reference>
      <Reference URI="/word/footer1.xml?ContentType=application/vnd.openxmlformats-officedocument.wordprocessingml.footer+xml">
        <DigestMethod Algorithm="http://www.w3.org/2001/04/xmlenc#sha256"/>
        <DigestValue>mt5fsVlMJmQnLMbYTZRRb6c57QZq2dxX0xkzxovwxgY=</DigestValue>
      </Reference>
      <Reference URI="/word/footnotes.xml?ContentType=application/vnd.openxmlformats-officedocument.wordprocessingml.footnotes+xml">
        <DigestMethod Algorithm="http://www.w3.org/2001/04/xmlenc#sha256"/>
        <DigestValue>AbCnCLBK2Jz06xVzdL9GvANXXzJheSayXXYb6shUe5U=</DigestValue>
      </Reference>
      <Reference URI="/word/header1.xml?ContentType=application/vnd.openxmlformats-officedocument.wordprocessingml.header+xml">
        <DigestMethod Algorithm="http://www.w3.org/2001/04/xmlenc#sha256"/>
        <DigestValue>Huia4f9kts01VCZL1ukcdtP90R6rVuEtOuWK0cordww=</DigestValue>
      </Reference>
      <Reference URI="/word/media/image1.png?ContentType=image/png">
        <DigestMethod Algorithm="http://www.w3.org/2001/04/xmlenc#sha256"/>
        <DigestValue>UrL55F7OOb/zYW55IxnN8pOn5MCOrZ0Lmg9dzcANV3U=</DigestValue>
      </Reference>
      <Reference URI="/word/numbering.xml?ContentType=application/vnd.openxmlformats-officedocument.wordprocessingml.numbering+xml">
        <DigestMethod Algorithm="http://www.w3.org/2001/04/xmlenc#sha256"/>
        <DigestValue>idNUVkpArulUwJM7aKPQl3reG28Ep2BEyEowH44nfvw=</DigestValue>
      </Reference>
      <Reference URI="/word/settings.xml?ContentType=application/vnd.openxmlformats-officedocument.wordprocessingml.settings+xml">
        <DigestMethod Algorithm="http://www.w3.org/2001/04/xmlenc#sha256"/>
        <DigestValue>L9qwn6f4rIe/Q8zgCz9ktkGlAZ3g6o4EzJDuvkjo/Lc=</DigestValue>
      </Reference>
      <Reference URI="/word/styles.xml?ContentType=application/vnd.openxmlformats-officedocument.wordprocessingml.styles+xml">
        <DigestMethod Algorithm="http://www.w3.org/2001/04/xmlenc#sha256"/>
        <DigestValue>SusJoEC7fDzBk6hGpD83WkqgLfHghyUx5biLGE6SSqk=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2017-10-17T13:04:30Z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2017-10-17T13:04:30Z</xd:SigningTime>
          <xd:SigningCertificate>
            <xd:Cert>
              <xd:CertDigest>
                <DigestMethod Algorithm="http://www.w3.org/2001/04/xmlenc#sha256"/>
                <DigestValue>66yBfF1Z/DInCtpOJpw7AsdASV46HRBmFFVchqXU3kE=</DigestValue>
              </xd:CertDigest>
              <xd:IssuerSerial>
                <X509IssuerName>CN=PostSignum Qualified CA 2, O="Česká pošta, s.p. [IČ 47114983]", C=CZ</X509IssuerName>
                <X509SerialNumber>2420226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E83E-A3F9-4372-82C2-A66F4FD6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5553</Words>
  <Characters>32766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38243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2017-10-16T14:23:00Z</dcterms:created>
  <dcterms:modified xsi:type="dcterms:W3CDTF">2017-10-17T13:03:00Z</dcterms:modified>
</cp:coreProperties>
</file>